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289F" w14:textId="7572C687" w:rsidR="00CE1F87" w:rsidRDefault="00A53CEA" w:rsidP="00163178">
      <w:r>
        <w:t>Tweede Kamer der Staten-Generaal</w:t>
      </w:r>
      <w:r w:rsidR="008B106F">
        <w:br/>
      </w:r>
      <w:r>
        <w:t>t.a.v.</w:t>
      </w:r>
      <w:r w:rsidR="00333B59">
        <w:t xml:space="preserve"> de leden </w:t>
      </w:r>
      <w:r w:rsidR="00400D07">
        <w:t xml:space="preserve">van de vaste commissie </w:t>
      </w:r>
      <w:r w:rsidR="00C90CB1">
        <w:t>voor Binnenlandse Zaken</w:t>
      </w:r>
      <w:r w:rsidR="009509EC">
        <w:t xml:space="preserve"> </w:t>
      </w:r>
      <w:bookmarkStart w:id="0" w:name="_Hlk146810008"/>
      <w:r w:rsidR="009509EC">
        <w:t>en Koninkrijksrelaties</w:t>
      </w:r>
      <w:bookmarkEnd w:id="0"/>
      <w:r w:rsidR="008B106F">
        <w:br/>
      </w:r>
      <w:r w:rsidR="00CD28ED">
        <w:t>Postbus 20018</w:t>
      </w:r>
      <w:r w:rsidR="008B106F">
        <w:br/>
      </w:r>
      <w:r w:rsidR="00CE1F87" w:rsidRPr="008B106F">
        <w:t>2500 EA</w:t>
      </w:r>
      <w:r w:rsidR="008B106F">
        <w:t xml:space="preserve">  DEN HAAG</w:t>
      </w:r>
    </w:p>
    <w:p w14:paraId="06592046" w14:textId="77777777" w:rsidR="008B106F" w:rsidRPr="008B106F" w:rsidRDefault="008B106F" w:rsidP="00163178"/>
    <w:p w14:paraId="552FC6AC" w14:textId="77777777" w:rsidR="008B106F" w:rsidRDefault="00AD1FE1" w:rsidP="008B106F">
      <w:pPr>
        <w:tabs>
          <w:tab w:val="left" w:pos="1418"/>
        </w:tabs>
        <w:spacing w:after="0" w:line="240" w:lineRule="exact"/>
        <w:ind w:left="1560" w:hanging="1560"/>
        <w:jc w:val="both"/>
        <w:rPr>
          <w:rFonts w:ascii="Calibri" w:eastAsia="Times New Roman" w:hAnsi="Calibri" w:cs="Calibri"/>
          <w:bCs/>
          <w:smallCaps/>
          <w:kern w:val="0"/>
          <w:lang w:eastAsia="nl-NL"/>
          <w14:ligatures w14:val="none"/>
        </w:rPr>
      </w:pPr>
      <w:r w:rsidRPr="008B106F">
        <w:rPr>
          <w:rFonts w:ascii="Calibri" w:eastAsia="Times New Roman" w:hAnsi="Calibri" w:cs="Calibri"/>
          <w:b/>
          <w:smallCaps/>
          <w:kern w:val="0"/>
          <w:lang w:eastAsia="nl-NL"/>
          <w14:ligatures w14:val="none"/>
        </w:rPr>
        <w:t>Datum</w:t>
      </w:r>
      <w:r w:rsidRPr="008B106F">
        <w:rPr>
          <w:rFonts w:ascii="Calibri" w:eastAsia="Times New Roman" w:hAnsi="Calibri" w:cs="Calibri"/>
          <w:b/>
          <w:smallCaps/>
          <w:kern w:val="0"/>
          <w:lang w:eastAsia="nl-NL"/>
          <w14:ligatures w14:val="none"/>
        </w:rPr>
        <w:tab/>
      </w:r>
      <w:r w:rsidRPr="008B106F">
        <w:rPr>
          <w:rFonts w:ascii="Calibri" w:eastAsia="Times New Roman" w:hAnsi="Calibri" w:cs="Calibri"/>
          <w:b/>
          <w:smallCaps/>
          <w:kern w:val="0"/>
          <w:lang w:eastAsia="nl-NL"/>
          <w14:ligatures w14:val="none"/>
        </w:rPr>
        <w:tab/>
      </w:r>
      <w:r w:rsidR="006D40B1" w:rsidRPr="008B106F">
        <w:rPr>
          <w:rFonts w:ascii="Calibri" w:eastAsia="Times New Roman" w:hAnsi="Calibri" w:cs="Calibri"/>
          <w:bCs/>
          <w:smallCaps/>
          <w:kern w:val="0"/>
          <w:lang w:eastAsia="nl-NL"/>
          <w14:ligatures w14:val="none"/>
        </w:rPr>
        <w:t xml:space="preserve">30 </w:t>
      </w:r>
      <w:r w:rsidR="00CE1F87" w:rsidRPr="008B106F">
        <w:rPr>
          <w:rFonts w:ascii="Calibri" w:eastAsia="Times New Roman" w:hAnsi="Calibri" w:cs="Calibri"/>
          <w:bCs/>
          <w:smallCaps/>
          <w:kern w:val="0"/>
          <w:lang w:eastAsia="nl-NL"/>
          <w14:ligatures w14:val="none"/>
        </w:rPr>
        <w:t>September</w:t>
      </w:r>
      <w:r w:rsidR="006D40B1" w:rsidRPr="008B106F">
        <w:rPr>
          <w:rFonts w:ascii="Calibri" w:eastAsia="Times New Roman" w:hAnsi="Calibri" w:cs="Calibri"/>
          <w:bCs/>
          <w:smallCaps/>
          <w:kern w:val="0"/>
          <w:lang w:eastAsia="nl-NL"/>
          <w14:ligatures w14:val="none"/>
        </w:rPr>
        <w:t xml:space="preserve"> </w:t>
      </w:r>
      <w:r w:rsidR="00F20DFF" w:rsidRPr="008B106F">
        <w:rPr>
          <w:rFonts w:ascii="Calibri" w:eastAsia="Times New Roman" w:hAnsi="Calibri" w:cs="Calibri"/>
          <w:bCs/>
          <w:smallCaps/>
          <w:kern w:val="0"/>
          <w:lang w:eastAsia="nl-NL"/>
          <w14:ligatures w14:val="none"/>
        </w:rPr>
        <w:t>2023</w:t>
      </w:r>
    </w:p>
    <w:p w14:paraId="26131193" w14:textId="2C35C536" w:rsidR="00AD1FE1" w:rsidRPr="008B106F" w:rsidRDefault="008B106F" w:rsidP="008B106F">
      <w:pPr>
        <w:tabs>
          <w:tab w:val="left" w:pos="1418"/>
        </w:tabs>
        <w:spacing w:after="0" w:line="240" w:lineRule="exact"/>
        <w:ind w:left="1560" w:hanging="1560"/>
        <w:jc w:val="both"/>
        <w:rPr>
          <w:rFonts w:ascii="Calibri" w:eastAsia="Times New Roman" w:hAnsi="Calibri" w:cs="Calibri"/>
          <w:bCs/>
          <w:smallCaps/>
          <w:kern w:val="0"/>
          <w:lang w:eastAsia="nl-NL"/>
          <w14:ligatures w14:val="none"/>
        </w:rPr>
      </w:pPr>
      <w:r w:rsidRPr="008B106F">
        <w:rPr>
          <w:rFonts w:ascii="Calibri" w:eastAsia="Times New Roman" w:hAnsi="Calibri" w:cs="Calibri"/>
          <w:b/>
          <w:smallCaps/>
          <w:kern w:val="0"/>
          <w:lang w:eastAsia="nl-NL"/>
          <w14:ligatures w14:val="none"/>
        </w:rPr>
        <w:t>Onze referentie</w:t>
      </w:r>
      <w:r>
        <w:rPr>
          <w:rFonts w:ascii="Calibri" w:eastAsia="Times New Roman" w:hAnsi="Calibri" w:cs="Calibri"/>
          <w:bCs/>
          <w:smallCaps/>
          <w:kern w:val="0"/>
          <w:lang w:eastAsia="nl-NL"/>
          <w14:ligatures w14:val="none"/>
        </w:rPr>
        <w:tab/>
      </w:r>
      <w:r>
        <w:rPr>
          <w:rFonts w:ascii="Calibri" w:eastAsia="Times New Roman" w:hAnsi="Calibri" w:cs="Calibri"/>
          <w:bCs/>
          <w:smallCaps/>
          <w:kern w:val="0"/>
          <w:lang w:eastAsia="nl-NL"/>
          <w14:ligatures w14:val="none"/>
        </w:rPr>
        <w:tab/>
      </w:r>
      <w:r w:rsidRPr="008B106F">
        <w:rPr>
          <w:rFonts w:ascii="Calibri" w:eastAsia="Times New Roman" w:hAnsi="Calibri" w:cs="Calibri"/>
          <w:bCs/>
          <w:smallCaps/>
          <w:kern w:val="0"/>
          <w:lang w:eastAsia="nl-NL"/>
          <w14:ligatures w14:val="none"/>
        </w:rPr>
        <w:t>2023/RVB/LB/01</w:t>
      </w:r>
      <w:r>
        <w:rPr>
          <w:rFonts w:ascii="Calibri" w:eastAsia="Times New Roman" w:hAnsi="Calibri" w:cs="Calibri"/>
          <w:bCs/>
          <w:smallCaps/>
          <w:kern w:val="0"/>
          <w:lang w:eastAsia="nl-NL"/>
          <w14:ligatures w14:val="none"/>
        </w:rPr>
        <w:t>4</w:t>
      </w:r>
    </w:p>
    <w:p w14:paraId="449604A7" w14:textId="76A952E3" w:rsidR="00AD1FE1" w:rsidRPr="00AD1FE1" w:rsidRDefault="00AD1FE1" w:rsidP="008B106F">
      <w:pPr>
        <w:tabs>
          <w:tab w:val="left" w:pos="1418"/>
        </w:tabs>
        <w:spacing w:after="0" w:line="240" w:lineRule="exact"/>
        <w:ind w:left="1560" w:hanging="1560"/>
        <w:jc w:val="both"/>
        <w:rPr>
          <w:rFonts w:ascii="Calibri" w:eastAsia="Times New Roman" w:hAnsi="Calibri" w:cs="Calibri"/>
          <w:kern w:val="0"/>
          <w:lang w:eastAsia="nl-NL"/>
          <w14:ligatures w14:val="none"/>
        </w:rPr>
      </w:pPr>
      <w:r w:rsidRPr="00AD1FE1">
        <w:rPr>
          <w:rFonts w:ascii="Calibri" w:eastAsia="Times New Roman" w:hAnsi="Calibri" w:cs="Calibri"/>
          <w:b/>
          <w:smallCaps/>
          <w:kern w:val="0"/>
          <w:lang w:eastAsia="nl-NL"/>
          <w14:ligatures w14:val="none"/>
        </w:rPr>
        <w:t>Onderwerp</w:t>
      </w:r>
      <w:r w:rsidRPr="00AD1FE1">
        <w:rPr>
          <w:rFonts w:ascii="Calibri" w:eastAsia="Times New Roman" w:hAnsi="Calibri" w:cs="Calibri"/>
          <w:kern w:val="0"/>
          <w:lang w:eastAsia="nl-NL"/>
          <w14:ligatures w14:val="none"/>
        </w:rPr>
        <w:tab/>
      </w:r>
      <w:r w:rsidRPr="00AD1FE1">
        <w:rPr>
          <w:rFonts w:ascii="Calibri" w:eastAsia="Times New Roman" w:hAnsi="Calibri" w:cs="Calibri"/>
          <w:kern w:val="0"/>
          <w:lang w:eastAsia="nl-NL"/>
          <w14:ligatures w14:val="none"/>
        </w:rPr>
        <w:tab/>
      </w:r>
      <w:r w:rsidR="006D40B1">
        <w:rPr>
          <w:rFonts w:ascii="Calibri" w:eastAsia="Times New Roman" w:hAnsi="Calibri" w:cs="Calibri"/>
          <w:kern w:val="0"/>
          <w:lang w:eastAsia="nl-NL"/>
          <w14:ligatures w14:val="none"/>
        </w:rPr>
        <w:t>commissie debat Klimaatakkoord gebouwde omgeving</w:t>
      </w:r>
    </w:p>
    <w:p w14:paraId="4A3D42C0" w14:textId="77777777" w:rsidR="00AD1FE1" w:rsidRPr="00AD1FE1" w:rsidRDefault="00AD1FE1" w:rsidP="00AD1FE1">
      <w:pPr>
        <w:tabs>
          <w:tab w:val="left" w:pos="1710"/>
        </w:tabs>
        <w:spacing w:after="0" w:line="240" w:lineRule="auto"/>
        <w:jc w:val="both"/>
        <w:rPr>
          <w:rFonts w:ascii="Calibri" w:eastAsia="Times New Roman" w:hAnsi="Calibri" w:cs="Calibri"/>
          <w:kern w:val="0"/>
          <w:lang w:eastAsia="nl-NL"/>
          <w14:ligatures w14:val="none"/>
        </w:rPr>
      </w:pPr>
      <w:r w:rsidRPr="00AD1FE1">
        <w:rPr>
          <w:rFonts w:ascii="Calibri" w:eastAsia="Times New Roman" w:hAnsi="Calibri" w:cs="Calibri"/>
          <w:kern w:val="0"/>
          <w:lang w:eastAsia="nl-NL"/>
          <w14:ligatures w14:val="none"/>
        </w:rPr>
        <w:t xml:space="preserve"> </w:t>
      </w:r>
    </w:p>
    <w:p w14:paraId="0C030D84" w14:textId="0C827C9A" w:rsidR="00631B17" w:rsidRDefault="00CE1F87" w:rsidP="00163178">
      <w:r>
        <w:t>Geachte leden van de vaste commissie voo</w:t>
      </w:r>
      <w:r w:rsidR="007A7DC2">
        <w:t xml:space="preserve">r Binnenlandse Zaken </w:t>
      </w:r>
      <w:r w:rsidR="009509EC" w:rsidRPr="009509EC">
        <w:t>en Koninkrijksrelaties</w:t>
      </w:r>
      <w:r w:rsidR="009509EC">
        <w:t>,</w:t>
      </w:r>
    </w:p>
    <w:p w14:paraId="2C745BB5" w14:textId="3B90BA6F" w:rsidR="001F4F41" w:rsidRDefault="00631B17" w:rsidP="00163178">
      <w:r>
        <w:t>O</w:t>
      </w:r>
      <w:r w:rsidR="00163178">
        <w:t xml:space="preserve">p 5 oktober debatteert uw commissie over het Klimaatakkoord Gebouwde Omgeving en </w:t>
      </w:r>
      <w:r w:rsidR="001F4F41">
        <w:t>in week 42</w:t>
      </w:r>
      <w:r w:rsidR="00163178">
        <w:t xml:space="preserve"> vindt de behandeling van de begroting van het </w:t>
      </w:r>
      <w:r w:rsidR="001705C1">
        <w:t>M</w:t>
      </w:r>
      <w:r w:rsidR="00163178">
        <w:t xml:space="preserve">inisterie van Binnenlandse Zaken en </w:t>
      </w:r>
      <w:r w:rsidR="001705C1">
        <w:t>Koninkrijksrelaties</w:t>
      </w:r>
      <w:r w:rsidR="00163178">
        <w:t xml:space="preserve"> (BZK) plaats. FME wil </w:t>
      </w:r>
      <w:r w:rsidR="001705C1">
        <w:t xml:space="preserve">u </w:t>
      </w:r>
      <w:r w:rsidR="00163178">
        <w:t xml:space="preserve">in deze brief twee kernboodschappen meegegeven. </w:t>
      </w:r>
    </w:p>
    <w:p w14:paraId="208D58D4" w14:textId="65309677" w:rsidR="00BD0B6C" w:rsidRDefault="009A256E" w:rsidP="008B106F">
      <w:pPr>
        <w:pStyle w:val="Lijstalinea"/>
        <w:numPr>
          <w:ilvl w:val="0"/>
          <w:numId w:val="5"/>
        </w:numPr>
        <w:ind w:left="284" w:hanging="284"/>
      </w:pPr>
      <w:r>
        <w:t xml:space="preserve">De Nederlandse bouwsector dreigt in 2024 met 2,5% te krimpen en dat raakt alle toeleveranciers </w:t>
      </w:r>
      <w:r w:rsidR="00BD0B6C">
        <w:t xml:space="preserve">FME vraagt </w:t>
      </w:r>
      <w:r w:rsidR="00163178">
        <w:t xml:space="preserve">actie van het kabinet en de politiek </w:t>
      </w:r>
      <w:r w:rsidR="005C164C">
        <w:t>om</w:t>
      </w:r>
      <w:r w:rsidR="00163178">
        <w:t xml:space="preserve"> </w:t>
      </w:r>
      <w:r>
        <w:t>de negatieve effecten hiervan te v</w:t>
      </w:r>
      <w:r w:rsidR="005C164C">
        <w:t>erminderen</w:t>
      </w:r>
      <w:r w:rsidR="00163178">
        <w:t>.</w:t>
      </w:r>
    </w:p>
    <w:p w14:paraId="119CB007" w14:textId="7A3D982E" w:rsidR="00163178" w:rsidRDefault="00BD0B6C" w:rsidP="008B106F">
      <w:pPr>
        <w:pStyle w:val="Lijstalinea"/>
        <w:numPr>
          <w:ilvl w:val="0"/>
          <w:numId w:val="5"/>
        </w:numPr>
        <w:ind w:left="284" w:hanging="284"/>
      </w:pPr>
      <w:r>
        <w:t xml:space="preserve">FME vraagt </w:t>
      </w:r>
      <w:r w:rsidR="00163178">
        <w:t>dat duurzaam te doen door de Energie</w:t>
      </w:r>
      <w:r w:rsidR="001705C1">
        <w:t xml:space="preserve"> </w:t>
      </w:r>
      <w:r w:rsidR="00163178">
        <w:t>Prestatie</w:t>
      </w:r>
      <w:r w:rsidR="001705C1">
        <w:t xml:space="preserve"> </w:t>
      </w:r>
      <w:r w:rsidR="00163178">
        <w:t>Coefficient (EPC) en de M</w:t>
      </w:r>
      <w:r w:rsidR="006C2065">
        <w:t>ilieu</w:t>
      </w:r>
      <w:r w:rsidR="001705C1">
        <w:t xml:space="preserve"> </w:t>
      </w:r>
      <w:r w:rsidR="00163178">
        <w:t>Prestatie</w:t>
      </w:r>
      <w:r w:rsidR="001705C1">
        <w:t xml:space="preserve"> </w:t>
      </w:r>
      <w:r w:rsidR="00163178">
        <w:t xml:space="preserve">Gebouwen (MPG) norm te combineren tot één </w:t>
      </w:r>
      <w:r w:rsidR="005C164C">
        <w:t>methode voor M</w:t>
      </w:r>
      <w:r w:rsidR="00163178">
        <w:t xml:space="preserve">eer dan Energie Neutrale Gebouwen (MENG). </w:t>
      </w:r>
    </w:p>
    <w:p w14:paraId="753FF1D0" w14:textId="77777777" w:rsidR="00DF67D4" w:rsidRDefault="00DF67D4" w:rsidP="00DF67D4">
      <w:pPr>
        <w:pStyle w:val="Lijstalinea"/>
      </w:pPr>
    </w:p>
    <w:p w14:paraId="41D4E5E4" w14:textId="57CFCD00" w:rsidR="00651453" w:rsidRDefault="003E2BB4" w:rsidP="00163178">
      <w:r>
        <w:rPr>
          <w:noProof/>
        </w:rPr>
        <w:drawing>
          <wp:inline distT="0" distB="0" distL="0" distR="0" wp14:anchorId="154A2B4B" wp14:editId="07DD81F8">
            <wp:extent cx="5867400" cy="1390650"/>
            <wp:effectExtent l="0" t="0" r="0" b="0"/>
            <wp:docPr id="14651627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1390650"/>
                    </a:xfrm>
                    <a:prstGeom prst="rect">
                      <a:avLst/>
                    </a:prstGeom>
                    <a:noFill/>
                  </pic:spPr>
                </pic:pic>
              </a:graphicData>
            </a:graphic>
          </wp:inline>
        </w:drawing>
      </w:r>
    </w:p>
    <w:p w14:paraId="7D580ED8" w14:textId="69D22928" w:rsidR="001B6B32" w:rsidRDefault="00163178" w:rsidP="00163178">
      <w:r w:rsidRPr="008E0B93">
        <w:rPr>
          <w:b/>
          <w:bCs/>
          <w:color w:val="ED7D31" w:themeColor="accent2"/>
        </w:rPr>
        <w:t xml:space="preserve">Bouwproductie </w:t>
      </w:r>
      <w:r w:rsidR="00DB7042" w:rsidRPr="008E0B93">
        <w:rPr>
          <w:b/>
          <w:bCs/>
          <w:color w:val="ED7D31" w:themeColor="accent2"/>
        </w:rPr>
        <w:t xml:space="preserve">stimuleren </w:t>
      </w:r>
      <w:r w:rsidR="00AC7C36" w:rsidRPr="008E0B93">
        <w:rPr>
          <w:b/>
          <w:bCs/>
          <w:color w:val="ED7D31" w:themeColor="accent2"/>
        </w:rPr>
        <w:br/>
      </w:r>
      <w:r w:rsidR="009A256E">
        <w:t>Van de FME leden levert ca. 40% aan de grond, weg en waterbouw en utiliteitsbouw variërend van gevelpanelen</w:t>
      </w:r>
      <w:r w:rsidR="005C164C">
        <w:t>,</w:t>
      </w:r>
      <w:r w:rsidR="009A256E">
        <w:t xml:space="preserve"> stalen balken tot en met klimaatinstallaties</w:t>
      </w:r>
      <w:r w:rsidR="00D8627C">
        <w:t xml:space="preserve"> voor woningen</w:t>
      </w:r>
      <w:r w:rsidR="009A256E">
        <w:t>. Uit onderstaand ING rapport blijkt dat de productie met 2,5% afneemt. De Installatie, afwerking en sloop laat nog 1% groei zien, maar ervaring leert dat de</w:t>
      </w:r>
      <w:r w:rsidR="001B6B32">
        <w:t xml:space="preserve"> installatie</w:t>
      </w:r>
      <w:r w:rsidR="009A256E">
        <w:t xml:space="preserve">sector </w:t>
      </w:r>
      <w:r w:rsidR="001B6B32">
        <w:t xml:space="preserve">pas </w:t>
      </w:r>
      <w:r w:rsidR="005C164C">
        <w:t xml:space="preserve">later </w:t>
      </w:r>
      <w:r w:rsidR="009A256E">
        <w:t xml:space="preserve">de effecten </w:t>
      </w:r>
      <w:r w:rsidR="001B6B32">
        <w:t xml:space="preserve">van productiedaling </w:t>
      </w:r>
      <w:r w:rsidR="009A256E">
        <w:t>ondervind</w:t>
      </w:r>
      <w:r w:rsidR="001B6B32">
        <w:t>t</w:t>
      </w:r>
      <w:r w:rsidR="009A256E">
        <w:t xml:space="preserve">. </w:t>
      </w:r>
      <w:r w:rsidR="009A256E">
        <w:br/>
      </w:r>
      <w:r w:rsidR="001B6B32" w:rsidRPr="001B6B32">
        <w:rPr>
          <w:noProof/>
        </w:rPr>
        <w:lastRenderedPageBreak/>
        <w:drawing>
          <wp:inline distT="0" distB="0" distL="0" distR="0" wp14:anchorId="5F7D8587" wp14:editId="00A14F52">
            <wp:extent cx="3914775" cy="1870069"/>
            <wp:effectExtent l="0" t="0" r="0" b="0"/>
            <wp:docPr id="1256129323"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29323" name="Afbeelding 1" descr="Afbeelding met tekst, schermopname, Lettertype, nummer&#10;&#10;Automatisch gegenereerde beschrijving"/>
                    <pic:cNvPicPr/>
                  </pic:nvPicPr>
                  <pic:blipFill>
                    <a:blip r:embed="rId11"/>
                    <a:stretch>
                      <a:fillRect/>
                    </a:stretch>
                  </pic:blipFill>
                  <pic:spPr>
                    <a:xfrm>
                      <a:off x="0" y="0"/>
                      <a:ext cx="3924550" cy="1874739"/>
                    </a:xfrm>
                    <a:prstGeom prst="rect">
                      <a:avLst/>
                    </a:prstGeom>
                  </pic:spPr>
                </pic:pic>
              </a:graphicData>
            </a:graphic>
          </wp:inline>
        </w:drawing>
      </w:r>
      <w:r w:rsidR="009A256E">
        <w:br/>
      </w:r>
    </w:p>
    <w:p w14:paraId="189CDF40" w14:textId="44CDE58A" w:rsidR="001B6B32" w:rsidRDefault="003956FA" w:rsidP="00163178">
      <w:r>
        <w:t>V</w:t>
      </w:r>
      <w:r w:rsidR="002B6D14">
        <w:t>oor woning en bedrijfsgebouwen is de krimp 6%</w:t>
      </w:r>
      <w:r w:rsidR="001B6B32">
        <w:t xml:space="preserve">. </w:t>
      </w:r>
      <w:r w:rsidR="005C164C">
        <w:t xml:space="preserve"> Er </w:t>
      </w:r>
      <w:r w:rsidR="002B6D14">
        <w:t xml:space="preserve">worden </w:t>
      </w:r>
      <w:r w:rsidR="005C164C">
        <w:t xml:space="preserve">in 2024 </w:t>
      </w:r>
      <w:r w:rsidR="002B6D14">
        <w:t xml:space="preserve">slechts 65.000 nieuwbouwwoningen </w:t>
      </w:r>
      <w:r w:rsidR="005C164C">
        <w:t xml:space="preserve">gebouwd waar er 130.000 nodig zijn. De </w:t>
      </w:r>
      <w:r w:rsidR="002B6D14">
        <w:t xml:space="preserve">energiekosten liggen </w:t>
      </w:r>
      <w:r w:rsidR="005C164C">
        <w:t xml:space="preserve">nog altijd </w:t>
      </w:r>
      <w:r w:rsidR="002B6D14">
        <w:t>een factor 2-3 hoger dan in 2021</w:t>
      </w:r>
      <w:r w:rsidR="005C164C">
        <w:t xml:space="preserve"> </w:t>
      </w:r>
      <w:r w:rsidR="001C601C">
        <w:t xml:space="preserve">met kostenstijgingen voor </w:t>
      </w:r>
      <w:r w:rsidR="005C164C">
        <w:t xml:space="preserve">alle bouwmaterialen </w:t>
      </w:r>
      <w:r w:rsidR="001C601C">
        <w:t>tot gevolg</w:t>
      </w:r>
      <w:r w:rsidR="002B6D14">
        <w:t xml:space="preserve"> en </w:t>
      </w:r>
      <w:r w:rsidR="005C164C">
        <w:t xml:space="preserve">ook </w:t>
      </w:r>
      <w:r w:rsidR="002B6D14">
        <w:t xml:space="preserve">de rente is fors gestegen. </w:t>
      </w:r>
      <w:r w:rsidR="001B6B32">
        <w:t xml:space="preserve">Hierdoor krijgen opdrachtgevers en financiers de businesscase voor nieuwbouw en </w:t>
      </w:r>
      <w:r w:rsidR="005C164C">
        <w:t xml:space="preserve">de </w:t>
      </w:r>
      <w:r w:rsidR="001B6B32">
        <w:t xml:space="preserve">verduurzaming van bestaande bouw niet rond en stagneert het bouwproces. </w:t>
      </w:r>
      <w:r w:rsidR="002B6D14">
        <w:t xml:space="preserve">FME ontvangt signalen uit de achterban die </w:t>
      </w:r>
      <w:r w:rsidR="001C601C">
        <w:t xml:space="preserve">het beeld van </w:t>
      </w:r>
      <w:r w:rsidR="002B6D14">
        <w:t xml:space="preserve">het </w:t>
      </w:r>
      <w:r w:rsidR="008E0B93">
        <w:t>ING-rapport</w:t>
      </w:r>
      <w:r w:rsidR="002B6D14">
        <w:t xml:space="preserve"> helaas bevestigen.</w:t>
      </w:r>
      <w:r w:rsidR="001B6B32">
        <w:t xml:space="preserve"> </w:t>
      </w:r>
      <w:r w:rsidR="00E37202">
        <w:t xml:space="preserve">Met het </w:t>
      </w:r>
      <w:r w:rsidR="001705C1">
        <w:t xml:space="preserve">wetsvoorstel </w:t>
      </w:r>
      <w:r w:rsidR="00E37202">
        <w:t xml:space="preserve">‘Regie op Volkshuisvesting’ en het ‘Plan van aanpak versnellen van processen en procedures woning bouw’ zet het demissionaire kabinet stappen in de goede richting.  Maar bij het plan ontbreekt toch een concreet </w:t>
      </w:r>
      <w:r w:rsidR="005C164C">
        <w:t xml:space="preserve">antwoord </w:t>
      </w:r>
      <w:r w:rsidR="00E37202">
        <w:t xml:space="preserve">op de vraag </w:t>
      </w:r>
      <w:r w:rsidR="00E37202" w:rsidRPr="00E37202">
        <w:rPr>
          <w:i/>
          <w:iCs/>
        </w:rPr>
        <w:t>hoe</w:t>
      </w:r>
      <w:r w:rsidR="00E37202">
        <w:t xml:space="preserve"> het versnellen van de (woning)bouw wordt uitgevoerd.</w:t>
      </w:r>
      <w:r w:rsidR="00E34661">
        <w:t xml:space="preserve"> </w:t>
      </w:r>
      <w:r w:rsidR="00D73D37">
        <w:t xml:space="preserve">Trage besluitvorming over bouwlocaties </w:t>
      </w:r>
      <w:r w:rsidR="003C0E1B">
        <w:t xml:space="preserve">is daarbij een groot knelpunt. </w:t>
      </w:r>
    </w:p>
    <w:p w14:paraId="62F036FC" w14:textId="50FA6922" w:rsidR="001C601C" w:rsidRDefault="00E37202" w:rsidP="00163178">
      <w:r>
        <w:t xml:space="preserve">Versnelling van de bouw </w:t>
      </w:r>
      <w:r w:rsidR="002B6D14">
        <w:t>kan niet zonder aa</w:t>
      </w:r>
      <w:r w:rsidR="00163178">
        <w:t>nsluiting</w:t>
      </w:r>
      <w:r w:rsidR="00E34661">
        <w:t>en</w:t>
      </w:r>
      <w:r w:rsidR="00163178">
        <w:t xml:space="preserve"> op het elektriciteitsnet</w:t>
      </w:r>
      <w:r w:rsidR="002B6D14">
        <w:t xml:space="preserve"> en e</w:t>
      </w:r>
      <w:r w:rsidR="00163178">
        <w:t xml:space="preserve">en </w:t>
      </w:r>
      <w:r w:rsidR="005C164C">
        <w:t xml:space="preserve">adequaat </w:t>
      </w:r>
      <w:r w:rsidR="00163178">
        <w:t xml:space="preserve">stikstofbeleid </w:t>
      </w:r>
      <w:r w:rsidR="00E34661">
        <w:t xml:space="preserve">waarmee </w:t>
      </w:r>
      <w:r w:rsidR="002B6D14">
        <w:t xml:space="preserve">de bouw niet </w:t>
      </w:r>
      <w:r w:rsidR="00E34661">
        <w:t xml:space="preserve">wordt </w:t>
      </w:r>
      <w:r w:rsidR="00FB566D">
        <w:t>vertraagd</w:t>
      </w:r>
      <w:r w:rsidR="001705C1">
        <w:t>,</w:t>
      </w:r>
      <w:r w:rsidR="00E34661">
        <w:t xml:space="preserve"> maar geholpen</w:t>
      </w:r>
      <w:r w:rsidR="002B6D14">
        <w:t>.</w:t>
      </w:r>
      <w:r w:rsidR="00DB7042">
        <w:t xml:space="preserve"> </w:t>
      </w:r>
      <w:r w:rsidR="00E34661">
        <w:t>Actie blijft daarom nodig</w:t>
      </w:r>
      <w:r w:rsidR="005C164C">
        <w:t>. He</w:t>
      </w:r>
      <w:r w:rsidR="00E34661">
        <w:t xml:space="preserve">t rapport ‘Verkenning Wetgevingsmogelijkheden versnelling energie-grondstoffeninfrastructuur’ van AT Osborne bevat concrete voorstellen voor snellere </w:t>
      </w:r>
      <w:r w:rsidR="001705C1">
        <w:t>vergunningverlening</w:t>
      </w:r>
      <w:r w:rsidR="00E34661">
        <w:t xml:space="preserve"> die naast de aanleg van infrastructuur ook de reguliere bouw kan helpen versnellen. </w:t>
      </w:r>
      <w:r w:rsidR="00D73D37">
        <w:t xml:space="preserve"> Tenslotte </w:t>
      </w:r>
      <w:r w:rsidR="005C164C">
        <w:t xml:space="preserve">kampen FME leden </w:t>
      </w:r>
      <w:r w:rsidR="00D73D37">
        <w:t>nog de continue zorg over het gebrek aan technisch personeel dat nodig is om</w:t>
      </w:r>
      <w:r w:rsidR="005C164C">
        <w:t xml:space="preserve"> onder meer</w:t>
      </w:r>
      <w:r w:rsidR="00D73D37">
        <w:t xml:space="preserve">:  laadpunten,  </w:t>
      </w:r>
      <w:r w:rsidR="005C164C">
        <w:t>zonne</w:t>
      </w:r>
      <w:r w:rsidR="00D73D37">
        <w:t xml:space="preserve">panelen, warmtepompen, OV verbindingen, netwerken te maken en installeren.  </w:t>
      </w:r>
    </w:p>
    <w:p w14:paraId="0E05EA83" w14:textId="1DC9CA49" w:rsidR="001C601C" w:rsidRDefault="001C601C" w:rsidP="00163178">
      <w:r w:rsidRPr="008E0B93">
        <w:rPr>
          <w:b/>
          <w:bCs/>
          <w:color w:val="ED7D31" w:themeColor="accent2"/>
        </w:rPr>
        <w:t>FME vraagt uw kamer om</w:t>
      </w:r>
      <w:r w:rsidR="00DB7042" w:rsidRPr="008E0B93">
        <w:rPr>
          <w:b/>
          <w:bCs/>
          <w:color w:val="ED7D31" w:themeColor="accent2"/>
        </w:rPr>
        <w:t xml:space="preserve"> de bouw te stimuleren met:</w:t>
      </w:r>
    </w:p>
    <w:p w14:paraId="5A2E90BA" w14:textId="7277F124" w:rsidR="00DB7042" w:rsidRPr="00360C7E" w:rsidRDefault="001C601C" w:rsidP="008E0B93">
      <w:pPr>
        <w:pStyle w:val="Lijstalinea"/>
        <w:numPr>
          <w:ilvl w:val="0"/>
          <w:numId w:val="1"/>
        </w:numPr>
        <w:ind w:left="284" w:hanging="284"/>
      </w:pPr>
      <w:r w:rsidRPr="00360C7E">
        <w:t>Vrijstelling van stikstofeisen voor klimaatinfrastructuur</w:t>
      </w:r>
      <w:r w:rsidR="001705C1">
        <w:t>,</w:t>
      </w:r>
      <w:r w:rsidRPr="00360C7E">
        <w:t xml:space="preserve"> zoals </w:t>
      </w:r>
      <w:r w:rsidR="002B6D14" w:rsidRPr="00360C7E">
        <w:t>het elektriciteitsnetwerk</w:t>
      </w:r>
      <w:r w:rsidR="00D73D37">
        <w:t xml:space="preserve"> en </w:t>
      </w:r>
      <w:r w:rsidR="005C164C">
        <w:t xml:space="preserve">te </w:t>
      </w:r>
      <w:r w:rsidR="00D73D37">
        <w:t>bevorderen dat stikstofrechten die vrijkomen worden toegepast bij de industrie en bouw</w:t>
      </w:r>
      <w:r w:rsidR="005C164C">
        <w:t>;</w:t>
      </w:r>
    </w:p>
    <w:p w14:paraId="60397E7B" w14:textId="6559A2DF" w:rsidR="00DB7042" w:rsidRDefault="00163178" w:rsidP="008E0B93">
      <w:pPr>
        <w:pStyle w:val="Lijstalinea"/>
        <w:numPr>
          <w:ilvl w:val="0"/>
          <w:numId w:val="1"/>
        </w:numPr>
        <w:ind w:left="284" w:hanging="284"/>
      </w:pPr>
      <w:r w:rsidRPr="00360C7E">
        <w:t xml:space="preserve">Gemeenten en provincies </w:t>
      </w:r>
      <w:r w:rsidR="001C601C" w:rsidRPr="00360C7E">
        <w:t xml:space="preserve">moeten </w:t>
      </w:r>
      <w:r w:rsidR="001C601C">
        <w:t xml:space="preserve">aangemoedigd en geholpen worden om </w:t>
      </w:r>
      <w:r>
        <w:t xml:space="preserve">keuzes voor </w:t>
      </w:r>
      <w:r w:rsidR="001C601C">
        <w:t xml:space="preserve">het </w:t>
      </w:r>
      <w:r>
        <w:t xml:space="preserve">aanwijzen </w:t>
      </w:r>
      <w:r w:rsidR="001C601C">
        <w:t xml:space="preserve">van </w:t>
      </w:r>
      <w:r>
        <w:t xml:space="preserve">bouwlocaties </w:t>
      </w:r>
      <w:r w:rsidR="001C601C">
        <w:t xml:space="preserve">te maken. Het </w:t>
      </w:r>
      <w:r>
        <w:t xml:space="preserve">Rijk </w:t>
      </w:r>
      <w:r w:rsidR="001C601C">
        <w:t>kan haar regierol verder uitbreiden</w:t>
      </w:r>
      <w:r w:rsidR="005C164C">
        <w:t>;</w:t>
      </w:r>
    </w:p>
    <w:p w14:paraId="51D992E5" w14:textId="6C363DDF" w:rsidR="00E34661" w:rsidRDefault="00DB7042" w:rsidP="008E0B93">
      <w:pPr>
        <w:pStyle w:val="Lijstalinea"/>
        <w:numPr>
          <w:ilvl w:val="0"/>
          <w:numId w:val="1"/>
        </w:numPr>
        <w:ind w:left="284" w:hanging="284"/>
      </w:pPr>
      <w:r>
        <w:t xml:space="preserve">Steun voor het </w:t>
      </w:r>
      <w:r w:rsidR="001C601C">
        <w:t xml:space="preserve">Aanvalsplan Techniek </w:t>
      </w:r>
      <w:r>
        <w:t xml:space="preserve">om het aanbod van </w:t>
      </w:r>
      <w:r w:rsidR="001C601C">
        <w:t xml:space="preserve">technisch personeel </w:t>
      </w:r>
      <w:r>
        <w:t xml:space="preserve">te </w:t>
      </w:r>
      <w:r w:rsidR="005C164C">
        <w:t>verhogen;</w:t>
      </w:r>
    </w:p>
    <w:p w14:paraId="22E53542" w14:textId="77777777" w:rsidR="00E34661" w:rsidRDefault="00E34661" w:rsidP="008E0B93">
      <w:pPr>
        <w:pStyle w:val="Lijstalinea"/>
        <w:numPr>
          <w:ilvl w:val="0"/>
          <w:numId w:val="1"/>
        </w:numPr>
        <w:ind w:left="284" w:hanging="284"/>
      </w:pPr>
      <w:r>
        <w:t>De aanbevelingen over vergunningverlening uit het AT Osborne rapport over te nemen.</w:t>
      </w:r>
    </w:p>
    <w:p w14:paraId="6C0FCCBA" w14:textId="31CE2D3A" w:rsidR="008B106F" w:rsidRDefault="00DB7042" w:rsidP="00163178">
      <w:r w:rsidRPr="008E0B93">
        <w:rPr>
          <w:b/>
          <w:bCs/>
          <w:color w:val="ED7D31" w:themeColor="accent2"/>
        </w:rPr>
        <w:t>Verduurzaming van de bouw</w:t>
      </w:r>
      <w:r w:rsidR="00AC7C36">
        <w:rPr>
          <w:b/>
          <w:bCs/>
        </w:rPr>
        <w:br/>
      </w:r>
      <w:r>
        <w:t xml:space="preserve">Een gebouw gaat gemiddeld 75 jaar mee en heeft dus een significante impact op het klimaat en milieu. FME vindt daarom dat </w:t>
      </w:r>
      <w:r w:rsidR="005C164C">
        <w:t>bouw</w:t>
      </w:r>
      <w:r>
        <w:t>besluiten moeten worden genomen op basis van wetenschappelijke feiten en cijfers</w:t>
      </w:r>
      <w:r w:rsidR="00360C7E">
        <w:t xml:space="preserve">. </w:t>
      </w:r>
      <w:r w:rsidR="00A5730F">
        <w:t xml:space="preserve">Hierbij moet </w:t>
      </w:r>
      <w:r w:rsidR="00247493">
        <w:t xml:space="preserve">de </w:t>
      </w:r>
      <w:r w:rsidR="008B106F">
        <w:t>levenscyclusanalyse</w:t>
      </w:r>
      <w:r w:rsidR="00247493">
        <w:t xml:space="preserve"> op </w:t>
      </w:r>
      <w:r w:rsidR="00247493" w:rsidRPr="00247493">
        <w:rPr>
          <w:i/>
          <w:iCs/>
        </w:rPr>
        <w:t>alle</w:t>
      </w:r>
      <w:r w:rsidR="00247493">
        <w:t xml:space="preserve"> milieuthema’s over de gehele levenscyclus van een gebouw de basis vorm</w:t>
      </w:r>
      <w:r w:rsidR="00A5730F">
        <w:t>en</w:t>
      </w:r>
      <w:r w:rsidR="00247493">
        <w:t>. FME wil voorkomen dat we bij het bereiken van de klimaat</w:t>
      </w:r>
      <w:r w:rsidR="001705C1">
        <w:t>-</w:t>
      </w:r>
      <w:r w:rsidR="00247493">
        <w:t xml:space="preserve"> en duurzaamheid</w:t>
      </w:r>
      <w:r w:rsidR="001705C1">
        <w:t>s</w:t>
      </w:r>
      <w:r w:rsidR="00247493">
        <w:t xml:space="preserve">doelen gaan sturen op slechts één thema zoals Global Warming </w:t>
      </w:r>
      <w:proofErr w:type="spellStart"/>
      <w:r w:rsidR="00D77418">
        <w:t>Potential</w:t>
      </w:r>
      <w:proofErr w:type="spellEnd"/>
      <w:r w:rsidR="00D77418">
        <w:t xml:space="preserve"> </w:t>
      </w:r>
      <w:r w:rsidR="00247493">
        <w:t>of</w:t>
      </w:r>
      <w:r w:rsidR="00315C9B">
        <w:t xml:space="preserve"> </w:t>
      </w:r>
      <w:r w:rsidR="00247493">
        <w:t>één m</w:t>
      </w:r>
      <w:r w:rsidR="00A97B56">
        <w:t xml:space="preserve">iddel </w:t>
      </w:r>
      <w:r w:rsidR="00247493">
        <w:t xml:space="preserve">zoals </w:t>
      </w:r>
      <w:proofErr w:type="spellStart"/>
      <w:r w:rsidR="00247493">
        <w:t>biobased</w:t>
      </w:r>
      <w:proofErr w:type="spellEnd"/>
      <w:r w:rsidR="00247493">
        <w:t xml:space="preserve"> bouwen.</w:t>
      </w:r>
      <w:r w:rsidR="003C0E1B" w:rsidRPr="003C0E1B">
        <w:t xml:space="preserve"> </w:t>
      </w:r>
      <w:r w:rsidR="003C0E1B">
        <w:t xml:space="preserve">De Nationale Milieudatabase (NMD) </w:t>
      </w:r>
      <w:r w:rsidR="003C0E1B">
        <w:lastRenderedPageBreak/>
        <w:t>bepalingsmethode is de enige methode waar dit allemaal in samenkomt en een goede balans kan worden gevonden</w:t>
      </w:r>
      <w:r w:rsidR="00B96DAA">
        <w:t xml:space="preserve">. </w:t>
      </w:r>
    </w:p>
    <w:p w14:paraId="340C9F64" w14:textId="2CA71FD6" w:rsidR="003C0E1B" w:rsidRDefault="003C0E1B" w:rsidP="00163178">
      <w:r>
        <w:t>Onverstandige keuzes hebben langer termijneffecten en die moeten we voorkomen.</w:t>
      </w:r>
      <w:r w:rsidRPr="003C0E1B">
        <w:t xml:space="preserve"> </w:t>
      </w:r>
      <w:r>
        <w:t>Nu nog heeft het plaatsen van bijvoorbeeld zonnepanelen op het dak van een woning, isolatie of HR++ glas een negatief effect op milieuprestatiescore (MPG score) van een gebouw omdat de hoeveelheid materiaal toeneemt. Of leidt de wens voor een lagere MPG-score tot minder isolatie en dus een hoger energieverbruik tijdens de levensduur van het gebouw.  Van dit soort onwenselijke tegenstellingen moeten we zo spoedig mogelijk af. FME pleit er daarom voor</w:t>
      </w:r>
      <w:r w:rsidR="00B96DAA">
        <w:t xml:space="preserve"> </w:t>
      </w:r>
      <w:r w:rsidR="00247493">
        <w:t>de Energie</w:t>
      </w:r>
      <w:r w:rsidR="00FB566D">
        <w:t xml:space="preserve"> P</w:t>
      </w:r>
      <w:r w:rsidR="00247493">
        <w:t>restatie</w:t>
      </w:r>
      <w:r w:rsidR="00FB566D">
        <w:t xml:space="preserve"> </w:t>
      </w:r>
      <w:proofErr w:type="spellStart"/>
      <w:r w:rsidR="00247493">
        <w:t>Coefficient</w:t>
      </w:r>
      <w:proofErr w:type="spellEnd"/>
      <w:r w:rsidR="00247493">
        <w:t xml:space="preserve"> (EPC) en M</w:t>
      </w:r>
      <w:r w:rsidR="006C2065">
        <w:t>ilieu</w:t>
      </w:r>
      <w:r w:rsidR="00FB566D">
        <w:t xml:space="preserve"> </w:t>
      </w:r>
      <w:r w:rsidR="00247493">
        <w:t>Prestatie</w:t>
      </w:r>
      <w:r w:rsidR="00FB566D">
        <w:t xml:space="preserve"> </w:t>
      </w:r>
      <w:r w:rsidR="00247493">
        <w:t xml:space="preserve">Gebouwen (MPG) norm met elkaar te combineren. </w:t>
      </w:r>
      <w:r>
        <w:t xml:space="preserve">Hiermee wordt een integrale afweging mogelijk. </w:t>
      </w:r>
    </w:p>
    <w:p w14:paraId="12B399D5" w14:textId="2C9B4D2F" w:rsidR="003C0E1B" w:rsidRDefault="003C0E1B" w:rsidP="00163178">
      <w:r>
        <w:t xml:space="preserve">De FEDET en FME constateren dat er nog steeds sprake is van het niet vervangen van verlichting door private gebruikers en overheden. De </w:t>
      </w:r>
      <w:r w:rsidR="00D8627C">
        <w:t xml:space="preserve">terugverdientijd </w:t>
      </w:r>
      <w:r w:rsidR="00B96DAA">
        <w:t>i</w:t>
      </w:r>
      <w:r>
        <w:t xml:space="preserve">s </w:t>
      </w:r>
      <w:r w:rsidR="00D8627C">
        <w:t xml:space="preserve">korter dan </w:t>
      </w:r>
      <w:r>
        <w:t xml:space="preserve">twee jaar en de handelingen zijn eenvoudig. </w:t>
      </w:r>
      <w:r w:rsidR="00D8627C">
        <w:t xml:space="preserve">Op 26 september heeft Fedet de petitie ‘Met LED kan het’ aangeboden aan de kamer en </w:t>
      </w:r>
      <w:r w:rsidR="00B96DAA">
        <w:t xml:space="preserve">we </w:t>
      </w:r>
      <w:r w:rsidR="00D8627C">
        <w:t xml:space="preserve">vragen de overheid het goede voorbeeld te geven. Het aandeel LED </w:t>
      </w:r>
      <w:r w:rsidR="00B96DAA">
        <w:t xml:space="preserve">in overheidsgebouwen kan en </w:t>
      </w:r>
      <w:r w:rsidR="00D8627C">
        <w:t xml:space="preserve">moet omhoog van 30% naar 80% in 2027 en 100% in 2030. Het meten van de energieprestatie van gebouwen zal er ook aan bijdragen dat maatregelen sneller genomen worden. Het blijkt in de praktijk  moeilijk om isolatie te combineren met ventilatie en daarmee een gezond binnenklimaart van gebouwen. De positieve effecten daarvan op gezondheid en prestaties van werknemers zijn telkens aangetoond. </w:t>
      </w:r>
    </w:p>
    <w:p w14:paraId="1D3C4996" w14:textId="6C4D4BD7" w:rsidR="00163178" w:rsidRPr="00AC7C36" w:rsidRDefault="0095352D" w:rsidP="00163178">
      <w:pPr>
        <w:rPr>
          <w:b/>
          <w:bCs/>
        </w:rPr>
      </w:pPr>
      <w:r>
        <w:br/>
      </w:r>
      <w:r w:rsidR="00247493" w:rsidRPr="008E0B93">
        <w:rPr>
          <w:b/>
          <w:bCs/>
          <w:color w:val="ED7D31" w:themeColor="accent2"/>
        </w:rPr>
        <w:t>FME vraagt uw kamer</w:t>
      </w:r>
      <w:r w:rsidR="00247493" w:rsidRPr="008E0B93">
        <w:rPr>
          <w:color w:val="ED7D31" w:themeColor="accent2"/>
        </w:rPr>
        <w:t xml:space="preserve"> </w:t>
      </w:r>
      <w:r w:rsidR="004F629E" w:rsidRPr="004F629E">
        <w:rPr>
          <w:b/>
          <w:bCs/>
          <w:color w:val="ED7D31" w:themeColor="accent2"/>
        </w:rPr>
        <w:t>om de verduurzaming te stimuleren met:</w:t>
      </w:r>
    </w:p>
    <w:p w14:paraId="7331DC2D" w14:textId="77777777" w:rsidR="00B96DAA" w:rsidRDefault="00B96DAA" w:rsidP="00B96DAA">
      <w:pPr>
        <w:pStyle w:val="Lijstalinea"/>
        <w:numPr>
          <w:ilvl w:val="0"/>
          <w:numId w:val="2"/>
        </w:numPr>
        <w:ind w:left="284" w:hanging="284"/>
      </w:pPr>
      <w:r>
        <w:t xml:space="preserve">De huidige Milieuprestatienorm van gebouwen aan te scherpen tot 0,5 en deze uiterlijk in </w:t>
      </w:r>
      <w:r w:rsidRPr="00A97B56">
        <w:t>1 januari 2025 in</w:t>
      </w:r>
      <w:r>
        <w:t xml:space="preserve"> werking te laten treden </w:t>
      </w:r>
    </w:p>
    <w:p w14:paraId="047AB60F" w14:textId="77777777" w:rsidR="00B96DAA" w:rsidRDefault="001A056C" w:rsidP="00B96DAA">
      <w:pPr>
        <w:pStyle w:val="Lijstalinea"/>
        <w:numPr>
          <w:ilvl w:val="0"/>
          <w:numId w:val="2"/>
        </w:numPr>
        <w:ind w:left="284" w:hanging="284"/>
      </w:pPr>
      <w:r>
        <w:t xml:space="preserve">De </w:t>
      </w:r>
      <w:r w:rsidR="00247493">
        <w:t>Energie</w:t>
      </w:r>
      <w:r w:rsidR="00FB566D">
        <w:t xml:space="preserve"> </w:t>
      </w:r>
      <w:r w:rsidR="00247493">
        <w:t>Prestatie</w:t>
      </w:r>
      <w:r w:rsidR="00FB566D">
        <w:t xml:space="preserve"> </w:t>
      </w:r>
      <w:proofErr w:type="spellStart"/>
      <w:r w:rsidR="00247493">
        <w:t>Coefficient</w:t>
      </w:r>
      <w:proofErr w:type="spellEnd"/>
      <w:r w:rsidR="00247493">
        <w:t xml:space="preserve"> (EPC) en </w:t>
      </w:r>
      <w:r w:rsidR="00247493" w:rsidRPr="00B96DAA">
        <w:t xml:space="preserve">de </w:t>
      </w:r>
      <w:r w:rsidR="00834215" w:rsidRPr="00B96DAA">
        <w:t xml:space="preserve">Milieu </w:t>
      </w:r>
      <w:r w:rsidR="00247493" w:rsidRPr="00B96DAA">
        <w:t>Prestatie</w:t>
      </w:r>
      <w:r w:rsidR="00FB566D">
        <w:t xml:space="preserve"> </w:t>
      </w:r>
      <w:r w:rsidR="00247493">
        <w:t>Gebouwen (MPG) norm te combineren tot één aanpak die leidt tot Meer dan Energie Neutrale Gebouwen (MENG)</w:t>
      </w:r>
    </w:p>
    <w:p w14:paraId="200164A1" w14:textId="121354B7" w:rsidR="00B96DAA" w:rsidRDefault="00B96DAA" w:rsidP="00B96DAA">
      <w:pPr>
        <w:pStyle w:val="Lijstalinea"/>
        <w:numPr>
          <w:ilvl w:val="0"/>
          <w:numId w:val="2"/>
        </w:numPr>
        <w:ind w:left="284" w:hanging="284"/>
      </w:pPr>
      <w:r>
        <w:t>I</w:t>
      </w:r>
      <w:r>
        <w:t xml:space="preserve">n overleg met de sector te komen tot een </w:t>
      </w:r>
      <w:r>
        <w:t xml:space="preserve">nieuwe MPG/EPC norm </w:t>
      </w:r>
      <w:r>
        <w:t xml:space="preserve">die mogelijk in 2026 </w:t>
      </w:r>
      <w:r>
        <w:t xml:space="preserve">via het Besluit Bouwwerken Leefomgeving (Bouwbesluit) </w:t>
      </w:r>
      <w:r>
        <w:t>in werking kan treden.</w:t>
      </w:r>
    </w:p>
    <w:p w14:paraId="72CE1B9C" w14:textId="247B99B9" w:rsidR="002962F6" w:rsidRDefault="002962F6" w:rsidP="008E0B93">
      <w:pPr>
        <w:pStyle w:val="Lijstalinea"/>
        <w:numPr>
          <w:ilvl w:val="0"/>
          <w:numId w:val="2"/>
        </w:numPr>
        <w:ind w:left="284" w:hanging="284"/>
      </w:pPr>
      <w:r>
        <w:t xml:space="preserve">Te bevorderen dat alle overheden bij het duurzaam inkopen van gebouwen zich baseren op de systematiek van de </w:t>
      </w:r>
      <w:r w:rsidR="00FB566D">
        <w:t>NMD-bepalingsmethode</w:t>
      </w:r>
      <w:r w:rsidR="0076687B">
        <w:t>.</w:t>
      </w:r>
    </w:p>
    <w:p w14:paraId="02779903" w14:textId="7C4C775F" w:rsidR="00B96DAA" w:rsidRDefault="002962F6" w:rsidP="00683E69">
      <w:pPr>
        <w:pStyle w:val="Lijstalinea"/>
        <w:numPr>
          <w:ilvl w:val="0"/>
          <w:numId w:val="2"/>
        </w:numPr>
        <w:ind w:left="284" w:hanging="284"/>
      </w:pPr>
      <w:r>
        <w:t>Bij duurzaam inkopen de aandacht te verleggen van het inkoopproces vooraf</w:t>
      </w:r>
      <w:r w:rsidR="00B96DAA">
        <w:t>,</w:t>
      </w:r>
      <w:r>
        <w:t xml:space="preserve"> naar controle achteraf om te zien of de </w:t>
      </w:r>
      <w:r w:rsidR="00B96DAA">
        <w:t xml:space="preserve">afspraken </w:t>
      </w:r>
      <w:r>
        <w:t>ook gehaald worden. Dit voorkomt green washing en bevordert het marktaandeel van bedrijven die hun beloftes wel waar kunnen maken</w:t>
      </w:r>
    </w:p>
    <w:p w14:paraId="2DEE9A88" w14:textId="418D3574" w:rsidR="00526F4D" w:rsidRPr="00862244" w:rsidRDefault="00526F4D" w:rsidP="00862244">
      <w:pPr>
        <w:rPr>
          <w:b/>
          <w:bCs/>
          <w:color w:val="ED7D31" w:themeColor="accent2"/>
        </w:rPr>
      </w:pPr>
      <w:r>
        <w:rPr>
          <w:b/>
          <w:bCs/>
          <w:color w:val="ED7D31" w:themeColor="accent2"/>
        </w:rPr>
        <w:t>FME vraagt samen met FEDET aan uw kamer:</w:t>
      </w:r>
    </w:p>
    <w:p w14:paraId="5157C7F7" w14:textId="0F458BB5" w:rsidR="007C1632" w:rsidRPr="0095352D" w:rsidRDefault="007C1632" w:rsidP="007C1632">
      <w:pPr>
        <w:pStyle w:val="Lijstalinea"/>
        <w:numPr>
          <w:ilvl w:val="0"/>
          <w:numId w:val="2"/>
        </w:numPr>
        <w:ind w:left="284" w:hanging="284"/>
      </w:pPr>
      <w:r>
        <w:rPr>
          <w:rFonts w:eastAsia="Times New Roman"/>
        </w:rPr>
        <w:t>N</w:t>
      </w:r>
      <w:r w:rsidRPr="0095352D">
        <w:rPr>
          <w:rFonts w:eastAsia="Times New Roman"/>
        </w:rPr>
        <w:t>ationale doelstelling voor LED-verlichting binnen de overheid</w:t>
      </w:r>
      <w:r w:rsidR="00526F4D">
        <w:rPr>
          <w:rFonts w:eastAsia="Times New Roman"/>
        </w:rPr>
        <w:t>,</w:t>
      </w:r>
      <w:r w:rsidRPr="0095352D">
        <w:rPr>
          <w:rFonts w:eastAsia="Times New Roman"/>
        </w:rPr>
        <w:t xml:space="preserve"> 80% in 2027 en 100% in 2030</w:t>
      </w:r>
    </w:p>
    <w:p w14:paraId="2F9F3FA6" w14:textId="77777777" w:rsidR="007C1632" w:rsidRDefault="007C1632" w:rsidP="007C1632">
      <w:pPr>
        <w:pStyle w:val="Lijstalinea"/>
        <w:numPr>
          <w:ilvl w:val="0"/>
          <w:numId w:val="2"/>
        </w:numPr>
        <w:ind w:left="284" w:hanging="284"/>
      </w:pPr>
      <w:r w:rsidRPr="0095352D">
        <w:rPr>
          <w:rFonts w:eastAsia="Times New Roman"/>
        </w:rPr>
        <w:t>Actuele meting van energieprestatie van gebouwen en woningen</w:t>
      </w:r>
      <w:r>
        <w:t xml:space="preserve"> </w:t>
      </w:r>
    </w:p>
    <w:p w14:paraId="554F0832" w14:textId="77777777" w:rsidR="0095352D" w:rsidRDefault="0095352D" w:rsidP="0095352D">
      <w:pPr>
        <w:pStyle w:val="Lijstalinea"/>
      </w:pPr>
    </w:p>
    <w:p w14:paraId="5A04DB67" w14:textId="77777777" w:rsidR="00B96DAA" w:rsidRPr="00370E6D" w:rsidRDefault="00B96DAA" w:rsidP="00B96DAA">
      <w:pPr>
        <w:rPr>
          <w:b/>
          <w:bCs/>
          <w:color w:val="ED7D31" w:themeColor="accent2"/>
        </w:rPr>
      </w:pPr>
      <w:r>
        <w:rPr>
          <w:b/>
          <w:bCs/>
          <w:color w:val="ED7D31" w:themeColor="accent2"/>
        </w:rPr>
        <w:t>FME vraagt samen met Binnenklimaat Nederland aan uw kamer:</w:t>
      </w:r>
    </w:p>
    <w:p w14:paraId="0761E227" w14:textId="77777777" w:rsidR="00B96DAA" w:rsidRDefault="00B96DAA" w:rsidP="00B96DAA">
      <w:pPr>
        <w:pStyle w:val="Lijstalinea"/>
        <w:numPr>
          <w:ilvl w:val="0"/>
          <w:numId w:val="2"/>
        </w:numPr>
        <w:ind w:left="284" w:hanging="284"/>
      </w:pPr>
      <w:r>
        <w:t>Naast isoleren ook een gezond binnenklimaat in gebouwen te realiseren onder andere door CO2- metingen in gebouwen te verplichten en voorzien van een ‘stoplicht’ systeem.</w:t>
      </w:r>
    </w:p>
    <w:p w14:paraId="512D9C94" w14:textId="77777777" w:rsidR="00B96DAA" w:rsidRDefault="00B96DAA" w:rsidP="00B96DAA">
      <w:pPr>
        <w:pStyle w:val="Lijstalinea"/>
        <w:numPr>
          <w:ilvl w:val="0"/>
          <w:numId w:val="2"/>
        </w:numPr>
        <w:ind w:left="284" w:hanging="284"/>
      </w:pPr>
      <w:r>
        <w:t>Ventilatienormen te koppelen aan renovatie en isolatie.</w:t>
      </w:r>
    </w:p>
    <w:p w14:paraId="52FF7E82" w14:textId="172B4185" w:rsidR="005075E9" w:rsidRDefault="005075E9" w:rsidP="005075E9">
      <w:r>
        <w:lastRenderedPageBreak/>
        <w:t xml:space="preserve">Voor meer informatie kunt u contact opnemen </w:t>
      </w:r>
      <w:r w:rsidR="008B106F">
        <w:t xml:space="preserve">met </w:t>
      </w:r>
      <w:hyperlink r:id="rId12" w:history="1">
        <w:r w:rsidR="008B106F" w:rsidRPr="006C46CE">
          <w:rPr>
            <w:rStyle w:val="Hyperlink"/>
          </w:rPr>
          <w:t>laurine.bonnewits@fme.nl</w:t>
        </w:r>
      </w:hyperlink>
      <w:r w:rsidR="008B106F">
        <w:t xml:space="preserve"> </w:t>
      </w:r>
      <w:r>
        <w:t xml:space="preserve">(PA-adviseur) op 06-16109092.  </w:t>
      </w:r>
    </w:p>
    <w:p w14:paraId="2EA51C6A" w14:textId="77777777" w:rsidR="005075E9" w:rsidRDefault="005075E9" w:rsidP="005075E9">
      <w:r>
        <w:t>Met vriendelijke groet,</w:t>
      </w:r>
    </w:p>
    <w:p w14:paraId="0F3FEA86" w14:textId="77777777" w:rsidR="005075E9" w:rsidRDefault="005075E9" w:rsidP="005075E9"/>
    <w:p w14:paraId="2214CC41" w14:textId="77777777" w:rsidR="005075E9" w:rsidRDefault="005075E9" w:rsidP="005075E9"/>
    <w:p w14:paraId="7EFE2F9C" w14:textId="53DC66CA" w:rsidR="002962F6" w:rsidRDefault="005075E9" w:rsidP="002962F6">
      <w:r>
        <w:t>Johnno Wesseling</w:t>
      </w:r>
      <w:r w:rsidR="008B106F">
        <w:br/>
      </w:r>
      <w:r>
        <w:t>Directeur Belangenbehartiging</w:t>
      </w:r>
    </w:p>
    <w:sectPr w:rsidR="002962F6" w:rsidSect="008E0B93">
      <w:headerReference w:type="default" r:id="rId1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05A1" w14:textId="77777777" w:rsidR="00410FFE" w:rsidRDefault="00410FFE" w:rsidP="008E0B93">
      <w:pPr>
        <w:spacing w:after="0" w:line="240" w:lineRule="auto"/>
      </w:pPr>
      <w:r>
        <w:separator/>
      </w:r>
    </w:p>
  </w:endnote>
  <w:endnote w:type="continuationSeparator" w:id="0">
    <w:p w14:paraId="0B3FB0F7" w14:textId="77777777" w:rsidR="00410FFE" w:rsidRDefault="00410FFE" w:rsidP="008E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6CAC" w14:textId="77777777" w:rsidR="00410FFE" w:rsidRDefault="00410FFE" w:rsidP="008E0B93">
      <w:pPr>
        <w:spacing w:after="0" w:line="240" w:lineRule="auto"/>
      </w:pPr>
      <w:r>
        <w:separator/>
      </w:r>
    </w:p>
  </w:footnote>
  <w:footnote w:type="continuationSeparator" w:id="0">
    <w:p w14:paraId="06FA29A2" w14:textId="77777777" w:rsidR="00410FFE" w:rsidRDefault="00410FFE" w:rsidP="008E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B381" w14:textId="77777777" w:rsidR="008E0B93" w:rsidRDefault="008E0B93" w:rsidP="008E0B93">
    <w:pPr>
      <w:pStyle w:val="Koptekst"/>
    </w:pPr>
    <w:r>
      <w:rPr>
        <w:rFonts w:ascii="Arial" w:hAnsi="Arial" w:cs="Arial"/>
        <w:noProof/>
        <w:sz w:val="16"/>
        <w:szCs w:val="16"/>
      </w:rPr>
      <w:drawing>
        <wp:anchor distT="0" distB="0" distL="114300" distR="114300" simplePos="0" relativeHeight="251659264" behindDoc="1" locked="0" layoutInCell="1" allowOverlap="1" wp14:anchorId="4D824C13" wp14:editId="5FE30428">
          <wp:simplePos x="0" y="0"/>
          <wp:positionH relativeFrom="margin">
            <wp:align>center</wp:align>
          </wp:positionH>
          <wp:positionV relativeFrom="page">
            <wp:align>bottom</wp:align>
          </wp:positionV>
          <wp:extent cx="7677150" cy="10855012"/>
          <wp:effectExtent l="0" t="0" r="0" b="3810"/>
          <wp:wrapNone/>
          <wp:docPr id="292799430" name="Afbeelding 292799430" descr="Afbeelding met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77150" cy="10855012"/>
                  </a:xfrm>
                  <a:prstGeom prst="rect">
                    <a:avLst/>
                  </a:prstGeom>
                </pic:spPr>
              </pic:pic>
            </a:graphicData>
          </a:graphic>
          <wp14:sizeRelH relativeFrom="margin">
            <wp14:pctWidth>0</wp14:pctWidth>
          </wp14:sizeRelH>
          <wp14:sizeRelV relativeFrom="margin">
            <wp14:pctHeight>0</wp14:pctHeight>
          </wp14:sizeRelV>
        </wp:anchor>
      </w:drawing>
    </w:r>
  </w:p>
  <w:p w14:paraId="451D351A" w14:textId="77777777" w:rsidR="008E0B93" w:rsidRDefault="008E0B93" w:rsidP="008E0B93">
    <w:pPr>
      <w:pBdr>
        <w:top w:val="nil"/>
        <w:left w:val="nil"/>
        <w:bottom w:val="nil"/>
        <w:right w:val="nil"/>
        <w:between w:val="nil"/>
      </w:pBdr>
      <w:tabs>
        <w:tab w:val="center" w:pos="4536"/>
        <w:tab w:val="right" w:pos="9072"/>
      </w:tabs>
      <w:ind w:firstLine="708"/>
      <w:rPr>
        <w:color w:val="000000"/>
      </w:rPr>
    </w:pPr>
  </w:p>
  <w:p w14:paraId="0C8B0D1A" w14:textId="77777777" w:rsidR="008E0B93" w:rsidRDefault="008E0B93" w:rsidP="008E0B93">
    <w:pPr>
      <w:pStyle w:val="Koptekst"/>
    </w:pPr>
  </w:p>
  <w:p w14:paraId="0516C857" w14:textId="4F171FFB" w:rsidR="008E0B93" w:rsidRDefault="008E0B93">
    <w:pPr>
      <w:pStyle w:val="Koptekst"/>
    </w:pPr>
  </w:p>
  <w:p w14:paraId="05FCF854" w14:textId="77777777" w:rsidR="008E0B93" w:rsidRDefault="008E0B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FAC"/>
    <w:multiLevelType w:val="hybridMultilevel"/>
    <w:tmpl w:val="83D88512"/>
    <w:lvl w:ilvl="0" w:tplc="791E17E6">
      <w:start w:val="1"/>
      <w:numFmt w:val="bullet"/>
      <w:lvlText w:val=""/>
      <w:lvlJc w:val="left"/>
      <w:pPr>
        <w:ind w:left="720" w:hanging="360"/>
      </w:pPr>
      <w:rPr>
        <w:rFonts w:ascii="Wingdings" w:hAnsi="Wingdings" w:hint="default"/>
        <w:color w:val="ED7D31"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5B0CFE"/>
    <w:multiLevelType w:val="hybridMultilevel"/>
    <w:tmpl w:val="99BC2E30"/>
    <w:lvl w:ilvl="0" w:tplc="6A7481FE">
      <w:start w:val="1"/>
      <w:numFmt w:val="bullet"/>
      <w:lvlText w:val=""/>
      <w:lvlJc w:val="left"/>
      <w:pPr>
        <w:ind w:left="502" w:hanging="360"/>
      </w:pPr>
      <w:rPr>
        <w:rFonts w:ascii="Wingdings" w:hAnsi="Wingdings" w:hint="default"/>
        <w:color w:val="ED7D31" w:themeColor="accent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4012353A"/>
    <w:multiLevelType w:val="multilevel"/>
    <w:tmpl w:val="64EC5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002C7"/>
    <w:multiLevelType w:val="hybridMultilevel"/>
    <w:tmpl w:val="065A0646"/>
    <w:lvl w:ilvl="0" w:tplc="1D4E85F6">
      <w:start w:val="1"/>
      <w:numFmt w:val="bullet"/>
      <w:lvlText w:val=""/>
      <w:lvlJc w:val="left"/>
      <w:pPr>
        <w:ind w:left="644" w:hanging="360"/>
      </w:pPr>
      <w:rPr>
        <w:rFonts w:ascii="Wingdings" w:hAnsi="Wingdings" w:hint="default"/>
        <w:color w:val="FF660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477198B"/>
    <w:multiLevelType w:val="hybridMultilevel"/>
    <w:tmpl w:val="32B480C2"/>
    <w:lvl w:ilvl="0" w:tplc="2F58A512">
      <w:start w:val="1"/>
      <w:numFmt w:val="decimal"/>
      <w:lvlText w:val="%1."/>
      <w:lvlJc w:val="left"/>
      <w:pPr>
        <w:ind w:left="720" w:hanging="360"/>
      </w:pPr>
      <w:rPr>
        <w:rFonts w:hint="default"/>
        <w:b/>
        <w:bCs/>
        <w:color w:val="F08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045570">
    <w:abstractNumId w:val="1"/>
  </w:num>
  <w:num w:numId="2" w16cid:durableId="370421732">
    <w:abstractNumId w:val="0"/>
  </w:num>
  <w:num w:numId="3" w16cid:durableId="2110855702">
    <w:abstractNumId w:val="3"/>
  </w:num>
  <w:num w:numId="4" w16cid:durableId="1424373517">
    <w:abstractNumId w:val="2"/>
  </w:num>
  <w:num w:numId="5" w16cid:durableId="1051419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78"/>
    <w:rsid w:val="0003116F"/>
    <w:rsid w:val="000B40A6"/>
    <w:rsid w:val="001231CE"/>
    <w:rsid w:val="00156432"/>
    <w:rsid w:val="00163178"/>
    <w:rsid w:val="001705C1"/>
    <w:rsid w:val="0018619F"/>
    <w:rsid w:val="00187B70"/>
    <w:rsid w:val="001A056C"/>
    <w:rsid w:val="001B6B32"/>
    <w:rsid w:val="001C601C"/>
    <w:rsid w:val="001F4F41"/>
    <w:rsid w:val="00247493"/>
    <w:rsid w:val="00251A09"/>
    <w:rsid w:val="002962F6"/>
    <w:rsid w:val="002B6D14"/>
    <w:rsid w:val="00315C9B"/>
    <w:rsid w:val="00333B59"/>
    <w:rsid w:val="003365BD"/>
    <w:rsid w:val="00360C7E"/>
    <w:rsid w:val="00370E6D"/>
    <w:rsid w:val="003956FA"/>
    <w:rsid w:val="003C0E1B"/>
    <w:rsid w:val="003D1C81"/>
    <w:rsid w:val="003E2BB4"/>
    <w:rsid w:val="00400D07"/>
    <w:rsid w:val="00410FFE"/>
    <w:rsid w:val="004F629E"/>
    <w:rsid w:val="005075E9"/>
    <w:rsid w:val="005254E9"/>
    <w:rsid w:val="00526F4D"/>
    <w:rsid w:val="005C164C"/>
    <w:rsid w:val="005E28E4"/>
    <w:rsid w:val="00631B17"/>
    <w:rsid w:val="00651453"/>
    <w:rsid w:val="006C2065"/>
    <w:rsid w:val="006D40B1"/>
    <w:rsid w:val="00744CE2"/>
    <w:rsid w:val="0076687B"/>
    <w:rsid w:val="007A7DC2"/>
    <w:rsid w:val="007B7D2D"/>
    <w:rsid w:val="007C1632"/>
    <w:rsid w:val="00834215"/>
    <w:rsid w:val="00862244"/>
    <w:rsid w:val="008B106F"/>
    <w:rsid w:val="008E0B93"/>
    <w:rsid w:val="008E4B3B"/>
    <w:rsid w:val="00902B6F"/>
    <w:rsid w:val="009509EC"/>
    <w:rsid w:val="0095352D"/>
    <w:rsid w:val="009A256E"/>
    <w:rsid w:val="00A53CEA"/>
    <w:rsid w:val="00A5730F"/>
    <w:rsid w:val="00A840AF"/>
    <w:rsid w:val="00A90970"/>
    <w:rsid w:val="00A97B56"/>
    <w:rsid w:val="00AC7C36"/>
    <w:rsid w:val="00AD1FE1"/>
    <w:rsid w:val="00B52FD7"/>
    <w:rsid w:val="00B96DAA"/>
    <w:rsid w:val="00BD0B6C"/>
    <w:rsid w:val="00C07E13"/>
    <w:rsid w:val="00C2397B"/>
    <w:rsid w:val="00C32C82"/>
    <w:rsid w:val="00C90CB1"/>
    <w:rsid w:val="00CA2DB9"/>
    <w:rsid w:val="00CC32DA"/>
    <w:rsid w:val="00CD28ED"/>
    <w:rsid w:val="00CE1F87"/>
    <w:rsid w:val="00D73D37"/>
    <w:rsid w:val="00D77418"/>
    <w:rsid w:val="00D8627C"/>
    <w:rsid w:val="00D91DA1"/>
    <w:rsid w:val="00DB7042"/>
    <w:rsid w:val="00DC5DEE"/>
    <w:rsid w:val="00DD126D"/>
    <w:rsid w:val="00DF67D4"/>
    <w:rsid w:val="00DF7786"/>
    <w:rsid w:val="00E34661"/>
    <w:rsid w:val="00E37202"/>
    <w:rsid w:val="00E80E94"/>
    <w:rsid w:val="00EB3D27"/>
    <w:rsid w:val="00EF7DB4"/>
    <w:rsid w:val="00F20DFF"/>
    <w:rsid w:val="00F4223E"/>
    <w:rsid w:val="00FB5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E893"/>
  <w15:chartTrackingRefBased/>
  <w15:docId w15:val="{4F69DC97-161A-4DAC-AD38-F8453D9B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601C"/>
    <w:pPr>
      <w:ind w:left="720"/>
      <w:contextualSpacing/>
    </w:pPr>
  </w:style>
  <w:style w:type="paragraph" w:styleId="Koptekst">
    <w:name w:val="header"/>
    <w:basedOn w:val="Standaard"/>
    <w:link w:val="KoptekstChar"/>
    <w:uiPriority w:val="99"/>
    <w:unhideWhenUsed/>
    <w:rsid w:val="008E0B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0B93"/>
  </w:style>
  <w:style w:type="paragraph" w:styleId="Voettekst">
    <w:name w:val="footer"/>
    <w:basedOn w:val="Standaard"/>
    <w:link w:val="VoettekstChar"/>
    <w:uiPriority w:val="99"/>
    <w:unhideWhenUsed/>
    <w:rsid w:val="008E0B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0B93"/>
  </w:style>
  <w:style w:type="paragraph" w:customStyle="1" w:styleId="Default">
    <w:name w:val="Default"/>
    <w:rsid w:val="005254E9"/>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Standaardalinea-lettertype"/>
    <w:uiPriority w:val="99"/>
    <w:unhideWhenUsed/>
    <w:rsid w:val="008B106F"/>
    <w:rPr>
      <w:color w:val="0563C1" w:themeColor="hyperlink"/>
      <w:u w:val="single"/>
    </w:rPr>
  </w:style>
  <w:style w:type="character" w:styleId="Onopgelostemelding">
    <w:name w:val="Unresolved Mention"/>
    <w:basedOn w:val="Standaardalinea-lettertype"/>
    <w:uiPriority w:val="99"/>
    <w:semiHidden/>
    <w:unhideWhenUsed/>
    <w:rsid w:val="008B106F"/>
    <w:rPr>
      <w:color w:val="605E5C"/>
      <w:shd w:val="clear" w:color="auto" w:fill="E1DFDD"/>
    </w:rPr>
  </w:style>
  <w:style w:type="paragraph" w:styleId="Revisie">
    <w:name w:val="Revision"/>
    <w:hidden/>
    <w:uiPriority w:val="99"/>
    <w:semiHidden/>
    <w:rsid w:val="00DC5DEE"/>
    <w:pPr>
      <w:spacing w:after="0" w:line="240" w:lineRule="auto"/>
    </w:pPr>
  </w:style>
  <w:style w:type="character" w:styleId="Verwijzingopmerking">
    <w:name w:val="annotation reference"/>
    <w:basedOn w:val="Standaardalinea-lettertype"/>
    <w:uiPriority w:val="99"/>
    <w:semiHidden/>
    <w:unhideWhenUsed/>
    <w:rsid w:val="00DC5DEE"/>
    <w:rPr>
      <w:sz w:val="16"/>
      <w:szCs w:val="16"/>
    </w:rPr>
  </w:style>
  <w:style w:type="paragraph" w:styleId="Tekstopmerking">
    <w:name w:val="annotation text"/>
    <w:basedOn w:val="Standaard"/>
    <w:link w:val="TekstopmerkingChar"/>
    <w:uiPriority w:val="99"/>
    <w:unhideWhenUsed/>
    <w:rsid w:val="00DC5DEE"/>
    <w:pPr>
      <w:spacing w:line="240" w:lineRule="auto"/>
    </w:pPr>
    <w:rPr>
      <w:sz w:val="20"/>
      <w:szCs w:val="20"/>
    </w:rPr>
  </w:style>
  <w:style w:type="character" w:customStyle="1" w:styleId="TekstopmerkingChar">
    <w:name w:val="Tekst opmerking Char"/>
    <w:basedOn w:val="Standaardalinea-lettertype"/>
    <w:link w:val="Tekstopmerking"/>
    <w:uiPriority w:val="99"/>
    <w:rsid w:val="00DC5DEE"/>
    <w:rPr>
      <w:sz w:val="20"/>
      <w:szCs w:val="20"/>
    </w:rPr>
  </w:style>
  <w:style w:type="paragraph" w:styleId="Onderwerpvanopmerking">
    <w:name w:val="annotation subject"/>
    <w:basedOn w:val="Tekstopmerking"/>
    <w:next w:val="Tekstopmerking"/>
    <w:link w:val="OnderwerpvanopmerkingChar"/>
    <w:uiPriority w:val="99"/>
    <w:semiHidden/>
    <w:unhideWhenUsed/>
    <w:rsid w:val="00DC5DEE"/>
    <w:rPr>
      <w:b/>
      <w:bCs/>
    </w:rPr>
  </w:style>
  <w:style w:type="character" w:customStyle="1" w:styleId="OnderwerpvanopmerkingChar">
    <w:name w:val="Onderwerp van opmerking Char"/>
    <w:basedOn w:val="TekstopmerkingChar"/>
    <w:link w:val="Onderwerpvanopmerking"/>
    <w:uiPriority w:val="99"/>
    <w:semiHidden/>
    <w:rsid w:val="00DC5D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6828">
      <w:bodyDiv w:val="1"/>
      <w:marLeft w:val="0"/>
      <w:marRight w:val="0"/>
      <w:marTop w:val="0"/>
      <w:marBottom w:val="0"/>
      <w:divBdr>
        <w:top w:val="none" w:sz="0" w:space="0" w:color="auto"/>
        <w:left w:val="none" w:sz="0" w:space="0" w:color="auto"/>
        <w:bottom w:val="none" w:sz="0" w:space="0" w:color="auto"/>
        <w:right w:val="none" w:sz="0" w:space="0" w:color="auto"/>
      </w:divBdr>
    </w:div>
    <w:div w:id="10027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ine.bonnewits@fm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3F1AE0134FA47AD6323540FC7C609" ma:contentTypeVersion="17" ma:contentTypeDescription="Een nieuw document maken." ma:contentTypeScope="" ma:versionID="9e6c3d4d52cfa6fa12818d3ba72a0b7e">
  <xsd:schema xmlns:xsd="http://www.w3.org/2001/XMLSchema" xmlns:xs="http://www.w3.org/2001/XMLSchema" xmlns:p="http://schemas.microsoft.com/office/2006/metadata/properties" xmlns:ns2="4fb9a303-cbf5-49df-8aec-68ba684a25f3" xmlns:ns3="ea1eab1d-bf5e-4985-8c7a-480079e1d0fa" targetNamespace="http://schemas.microsoft.com/office/2006/metadata/properties" ma:root="true" ma:fieldsID="31e0a6799396ab284adac7250f1119cb" ns2:_="" ns3:_="">
    <xsd:import namespace="4fb9a303-cbf5-49df-8aec-68ba684a25f3"/>
    <xsd:import namespace="ea1eab1d-bf5e-4985-8c7a-480079e1d0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a303-cbf5-49df-8aec-68ba684a2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e2facec-276f-434e-82d3-cbae6a6dc4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eab1d-bf5e-4985-8c7a-480079e1d0f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bec855c-08c8-4ed0-aefd-05d311c684aa}" ma:internalName="TaxCatchAll" ma:showField="CatchAllData" ma:web="ea1eab1d-bf5e-4985-8c7a-480079e1d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1eab1d-bf5e-4985-8c7a-480079e1d0fa" xsi:nil="true"/>
    <lcf76f155ced4ddcb4097134ff3c332f xmlns="4fb9a303-cbf5-49df-8aec-68ba684a2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2D9C9-CD8C-4213-B63C-D565B1CC7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a303-cbf5-49df-8aec-68ba684a25f3"/>
    <ds:schemaRef ds:uri="ea1eab1d-bf5e-4985-8c7a-480079e1d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DF0E8-D600-4FB1-A668-E1906F9D276A}">
  <ds:schemaRefs>
    <ds:schemaRef ds:uri="http://schemas.microsoft.com/sharepoint/v3/contenttype/forms"/>
  </ds:schemaRefs>
</ds:datastoreItem>
</file>

<file path=customXml/itemProps3.xml><?xml version="1.0" encoding="utf-8"?>
<ds:datastoreItem xmlns:ds="http://schemas.openxmlformats.org/officeDocument/2006/customXml" ds:itemID="{2D54D29A-E438-43D3-A4A2-B425D0155594}">
  <ds:schemaRefs>
    <ds:schemaRef ds:uri="http://schemas.microsoft.com/office/2006/metadata/properties"/>
    <ds:schemaRef ds:uri="http://schemas.microsoft.com/office/infopath/2007/PartnerControls"/>
    <ds:schemaRef ds:uri="ea1eab1d-bf5e-4985-8c7a-480079e1d0fa"/>
    <ds:schemaRef ds:uri="4fb9a303-cbf5-49df-8aec-68ba684a25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1132</Words>
  <Characters>6226</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Beek</dc:creator>
  <cp:keywords/>
  <dc:description/>
  <cp:lastModifiedBy>Robert van Beek</cp:lastModifiedBy>
  <cp:revision>2</cp:revision>
  <dcterms:created xsi:type="dcterms:W3CDTF">2023-09-29T11:48:00Z</dcterms:created>
  <dcterms:modified xsi:type="dcterms:W3CDTF">2023-09-29T11:48:00Z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0x01010074F3F1AE0134FA47AD6323540FC7C609</vt:lpwstr>
  </property>
</Properties>
</file>