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D1D" w:rsidRPr="0096225C" w:rsidRDefault="000335B9">
      <w:pPr>
        <w:pStyle w:val="Titel"/>
        <w:rPr>
          <w:sz w:val="48"/>
          <w:szCs w:val="48"/>
          <w:lang w:val="nl-NL"/>
        </w:rPr>
      </w:pPr>
      <w:r>
        <w:rPr>
          <w:noProof/>
          <w:sz w:val="48"/>
          <w:szCs w:val="48"/>
          <w:lang w:val="nl-NL" w:eastAsia="nl-NL"/>
        </w:rPr>
        <w:drawing>
          <wp:anchor distT="152400" distB="152400" distL="152400" distR="152400" simplePos="0" relativeHeight="251660288" behindDoc="0" locked="0" layoutInCell="1" allowOverlap="1">
            <wp:simplePos x="0" y="0"/>
            <wp:positionH relativeFrom="margin">
              <wp:posOffset>4098925</wp:posOffset>
            </wp:positionH>
            <wp:positionV relativeFrom="page">
              <wp:posOffset>133985</wp:posOffset>
            </wp:positionV>
            <wp:extent cx="2489195" cy="777874"/>
            <wp:effectExtent l="0" t="0" r="0" b="0"/>
            <wp:wrapThrough wrapText="bothSides" distL="152400" distR="152400">
              <wp:wrapPolygon edited="1">
                <wp:start x="0" y="0"/>
                <wp:lineTo x="21600" y="0"/>
                <wp:lineTo x="21600" y="21600"/>
                <wp:lineTo x="0" y="21600"/>
                <wp:lineTo x="0" y="0"/>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fme-logo.jpg"/>
                    <pic:cNvPicPr>
                      <a:picLocks noChangeAspect="1"/>
                    </pic:cNvPicPr>
                  </pic:nvPicPr>
                  <pic:blipFill>
                    <a:blip r:embed="rId7">
                      <a:extLst/>
                    </a:blip>
                    <a:stretch>
                      <a:fillRect/>
                    </a:stretch>
                  </pic:blipFill>
                  <pic:spPr>
                    <a:xfrm>
                      <a:off x="0" y="0"/>
                      <a:ext cx="2489195" cy="777874"/>
                    </a:xfrm>
                    <a:prstGeom prst="rect">
                      <a:avLst/>
                    </a:prstGeom>
                    <a:ln w="12700" cap="flat">
                      <a:noFill/>
                      <a:miter lim="400000"/>
                    </a:ln>
                    <a:effectLst/>
                  </pic:spPr>
                </pic:pic>
              </a:graphicData>
            </a:graphic>
          </wp:anchor>
        </w:drawing>
      </w:r>
      <w:r w:rsidR="00575AFA" w:rsidRPr="0096225C">
        <w:rPr>
          <w:sz w:val="48"/>
          <w:szCs w:val="48"/>
          <w:lang w:val="nl-NL"/>
        </w:rPr>
        <w:t>Publiek-private samenwerking (PPS): p</w:t>
      </w:r>
      <w:r w:rsidR="00575AFA">
        <w:rPr>
          <w:sz w:val="48"/>
          <w:szCs w:val="48"/>
          <w:lang w:val="nl-NL"/>
        </w:rPr>
        <w:t>ersoonsgericht</w:t>
      </w:r>
      <w:r w:rsidR="00575AFA" w:rsidRPr="0096225C">
        <w:rPr>
          <w:sz w:val="48"/>
          <w:szCs w:val="48"/>
          <w:lang w:val="nl-NL"/>
        </w:rPr>
        <w:t xml:space="preserve">e, perioperatieve netwerkzorg </w:t>
      </w:r>
    </w:p>
    <w:p w:rsidR="00AC5D1D" w:rsidRPr="0096225C" w:rsidRDefault="00575AFA">
      <w:pPr>
        <w:pStyle w:val="Ondertitel"/>
        <w:rPr>
          <w:lang w:val="nl-NL"/>
        </w:rPr>
      </w:pPr>
      <w:r w:rsidRPr="0096225C">
        <w:rPr>
          <w:lang w:val="nl-NL"/>
        </w:rPr>
        <w:t xml:space="preserve">Inventarisatie - </w:t>
      </w:r>
      <w:r>
        <w:rPr>
          <w:lang w:val="nl-NL"/>
        </w:rPr>
        <w:t xml:space="preserve">kansen voor- en </w:t>
      </w:r>
      <w:r w:rsidRPr="0096225C">
        <w:rPr>
          <w:lang w:val="nl-NL"/>
        </w:rPr>
        <w:t xml:space="preserve">bijdragen van ondernemers </w:t>
      </w:r>
    </w:p>
    <w:p w:rsidR="00AC5D1D" w:rsidRPr="0096225C" w:rsidRDefault="00AC5D1D">
      <w:pPr>
        <w:pStyle w:val="Body"/>
        <w:rPr>
          <w:lang w:val="nl-NL"/>
        </w:rPr>
      </w:pPr>
    </w:p>
    <w:p w:rsidR="00AC5D1D" w:rsidRPr="0096225C" w:rsidRDefault="00AC5D1D">
      <w:pPr>
        <w:pStyle w:val="Body"/>
        <w:rPr>
          <w:lang w:val="nl-NL"/>
        </w:rPr>
      </w:pPr>
    </w:p>
    <w:p w:rsidR="00AC5D1D" w:rsidRPr="0096225C" w:rsidRDefault="00AC5D1D">
      <w:pPr>
        <w:pStyle w:val="Body"/>
        <w:rPr>
          <w:lang w:val="nl-NL"/>
        </w:rPr>
      </w:pPr>
    </w:p>
    <w:p w:rsidR="00AC5D1D" w:rsidRPr="0096225C" w:rsidRDefault="00575AFA">
      <w:pPr>
        <w:pStyle w:val="Heading"/>
        <w:rPr>
          <w:lang w:val="nl-NL"/>
        </w:rPr>
      </w:pPr>
      <w:r w:rsidRPr="0096225C">
        <w:rPr>
          <w:lang w:val="nl-NL"/>
        </w:rPr>
        <w:t xml:space="preserve">Uitgangspunten </w:t>
      </w:r>
    </w:p>
    <w:p w:rsidR="00AC5D1D" w:rsidRPr="0096225C" w:rsidRDefault="00AC5D1D">
      <w:pPr>
        <w:pStyle w:val="Body2"/>
        <w:rPr>
          <w:lang w:val="nl-NL"/>
        </w:rPr>
      </w:pPr>
    </w:p>
    <w:p w:rsidR="00AC5D1D" w:rsidRPr="0096225C" w:rsidRDefault="00575AFA">
      <w:pPr>
        <w:pStyle w:val="Body2"/>
        <w:rPr>
          <w:lang w:val="nl-NL"/>
        </w:rPr>
      </w:pPr>
      <w:r w:rsidRPr="0096225C">
        <w:rPr>
          <w:lang w:val="nl-NL"/>
        </w:rPr>
        <w:t>Naar alle</w:t>
      </w:r>
      <w:r>
        <w:rPr>
          <w:lang w:val="nl-NL"/>
        </w:rPr>
        <w:t xml:space="preserve"> verwachting </w:t>
      </w:r>
      <w:r w:rsidRPr="0096225C">
        <w:rPr>
          <w:lang w:val="nl-NL"/>
        </w:rPr>
        <w:t>zal</w:t>
      </w:r>
      <w:r>
        <w:rPr>
          <w:lang w:val="fr-FR"/>
        </w:rPr>
        <w:t xml:space="preserve"> de </w:t>
      </w:r>
      <w:r w:rsidRPr="0096225C">
        <w:rPr>
          <w:lang w:val="nl-NL"/>
        </w:rPr>
        <w:t xml:space="preserve">vraag naar zorg de </w:t>
      </w:r>
      <w:r>
        <w:rPr>
          <w:lang w:val="nl-NL"/>
        </w:rPr>
        <w:t>komende jaren verder toene</w:t>
      </w:r>
      <w:r w:rsidRPr="0096225C">
        <w:rPr>
          <w:lang w:val="nl-NL"/>
        </w:rPr>
        <w:t>men</w:t>
      </w:r>
      <w:r>
        <w:rPr>
          <w:lang w:val="nl-NL"/>
        </w:rPr>
        <w:t>. Innovatieve oplossingen zijn nodig om mensen in staat te stellen meer zelf te organiseren en minder afhankelijk te zijn</w:t>
      </w:r>
      <w:r w:rsidRPr="0096225C">
        <w:rPr>
          <w:lang w:val="nl-NL"/>
        </w:rPr>
        <w:t xml:space="preserve"> </w:t>
      </w:r>
      <w:r>
        <w:rPr>
          <w:lang w:val="nl-NL"/>
        </w:rPr>
        <w:t xml:space="preserve">van formele zorg, om de ervaren kwaliteit van zorg te laten toenemen </w:t>
      </w:r>
      <w:r w:rsidRPr="0096225C">
        <w:rPr>
          <w:lang w:val="nl-NL"/>
        </w:rPr>
        <w:t>en tegelijkertijd de kosten er</w:t>
      </w:r>
      <w:r>
        <w:rPr>
          <w:lang w:val="nl-NL"/>
        </w:rPr>
        <w:t>van beheersbaar te houden.</w:t>
      </w:r>
      <w:r w:rsidRPr="0096225C">
        <w:rPr>
          <w:lang w:val="nl-NL"/>
        </w:rPr>
        <w:t xml:space="preserve"> </w:t>
      </w:r>
    </w:p>
    <w:p w:rsidR="00AC5D1D" w:rsidRPr="0096225C" w:rsidRDefault="00575AFA">
      <w:pPr>
        <w:pStyle w:val="Body2"/>
        <w:rPr>
          <w:lang w:val="nl-NL"/>
        </w:rPr>
      </w:pPr>
      <w:r w:rsidRPr="0096225C">
        <w:rPr>
          <w:lang w:val="nl-NL"/>
        </w:rPr>
        <w:t>De overheid onderkent, dat c</w:t>
      </w:r>
      <w:r>
        <w:rPr>
          <w:lang w:val="nl-NL"/>
        </w:rPr>
        <w:t>reativiteit en ondernemerschap essentieel</w:t>
      </w:r>
      <w:r w:rsidRPr="0096225C">
        <w:rPr>
          <w:lang w:val="nl-NL"/>
        </w:rPr>
        <w:t xml:space="preserve"> </w:t>
      </w:r>
      <w:r>
        <w:rPr>
          <w:lang w:val="nl-NL"/>
        </w:rPr>
        <w:t>zijn om innovatie</w:t>
      </w:r>
      <w:r w:rsidRPr="0096225C">
        <w:rPr>
          <w:lang w:val="nl-NL"/>
        </w:rPr>
        <w:t>ve oplossingen</w:t>
      </w:r>
      <w:r>
        <w:rPr>
          <w:lang w:val="nl-NL"/>
        </w:rPr>
        <w:t xml:space="preserve"> toe te passen en op te schalen.</w:t>
      </w:r>
      <w:r w:rsidRPr="0096225C">
        <w:rPr>
          <w:lang w:val="nl-NL"/>
        </w:rPr>
        <w:t xml:space="preserve"> Een Health Deal - en een daarmee verbonden publiek-private samenwerking (PPS) - is een gezamenlijk </w:t>
      </w:r>
      <w:r>
        <w:rPr>
          <w:lang w:val="it-IT"/>
        </w:rPr>
        <w:t>instrument</w:t>
      </w:r>
      <w:r w:rsidRPr="0096225C">
        <w:rPr>
          <w:lang w:val="nl-NL"/>
        </w:rPr>
        <w:t xml:space="preserve"> </w:t>
      </w:r>
      <w:r>
        <w:rPr>
          <w:lang w:val="nl-NL"/>
        </w:rPr>
        <w:t xml:space="preserve">van </w:t>
      </w:r>
      <w:r w:rsidRPr="0096225C">
        <w:rPr>
          <w:lang w:val="nl-NL"/>
        </w:rPr>
        <w:t xml:space="preserve">de ministeries van </w:t>
      </w:r>
      <w:r>
        <w:rPr>
          <w:lang w:val="de-DE"/>
        </w:rPr>
        <w:t>VWS en EZ</w:t>
      </w:r>
      <w:r w:rsidRPr="0096225C">
        <w:rPr>
          <w:lang w:val="nl-NL"/>
        </w:rPr>
        <w:t>K</w:t>
      </w:r>
      <w:r>
        <w:rPr>
          <w:lang w:val="nl-NL"/>
        </w:rPr>
        <w:t xml:space="preserve"> om brede toepassing van doelmatige zorginnovaties</w:t>
      </w:r>
      <w:r w:rsidRPr="0096225C">
        <w:rPr>
          <w:lang w:val="nl-NL"/>
        </w:rPr>
        <w:t xml:space="preserve"> te</w:t>
      </w:r>
      <w:r>
        <w:rPr>
          <w:lang w:val="nl-NL"/>
        </w:rPr>
        <w:t xml:space="preserve"> versnellen</w:t>
      </w:r>
      <w:r w:rsidRPr="0096225C">
        <w:rPr>
          <w:lang w:val="nl-NL"/>
        </w:rPr>
        <w:t xml:space="preserve">. </w:t>
      </w:r>
      <w:r>
        <w:rPr>
          <w:lang w:val="nl-NL"/>
        </w:rPr>
        <w:t xml:space="preserve">Daar waar deze </w:t>
      </w:r>
      <w:r w:rsidRPr="0096225C">
        <w:rPr>
          <w:lang w:val="nl-NL"/>
        </w:rPr>
        <w:t xml:space="preserve">innovaties </w:t>
      </w:r>
      <w:r>
        <w:rPr>
          <w:lang w:val="nl-NL"/>
        </w:rPr>
        <w:t xml:space="preserve">tegen belemmeringen aanlopen die volgens de initiatiefnemers kunnen worden aangepakt op Rijksniveau, wil het kabinet zich inzetten deze weg te nemen of op te lossen om zo de initiatieven te faciliteren en te versnellen. In een Health Deal </w:t>
      </w:r>
      <w:r w:rsidRPr="0096225C">
        <w:rPr>
          <w:lang w:val="nl-NL"/>
        </w:rPr>
        <w:t xml:space="preserve">convenant </w:t>
      </w:r>
      <w:r>
        <w:rPr>
          <w:lang w:val="nl-NL"/>
        </w:rPr>
        <w:t>leggen Partijen hierover concrete afspraken schriftelijk vast.</w:t>
      </w:r>
      <w:r w:rsidRPr="0096225C">
        <w:rPr>
          <w:lang w:val="nl-NL"/>
        </w:rPr>
        <w:t xml:space="preserve"> </w:t>
      </w:r>
    </w:p>
    <w:p w:rsidR="00AC5D1D" w:rsidRPr="0096225C" w:rsidRDefault="00575AFA">
      <w:pPr>
        <w:pStyle w:val="Body2"/>
        <w:rPr>
          <w:lang w:val="nl-NL"/>
        </w:rPr>
      </w:pPr>
      <w:r>
        <w:rPr>
          <w:lang w:val="nl-NL"/>
        </w:rPr>
        <w:t>Deelnemers aan de Health Deal plannen en leveren middelen</w:t>
      </w:r>
      <w:r w:rsidRPr="0096225C">
        <w:rPr>
          <w:lang w:val="nl-NL"/>
        </w:rPr>
        <w:t>, producten, diensten</w:t>
      </w:r>
      <w:r>
        <w:rPr>
          <w:lang w:val="nl-NL"/>
        </w:rPr>
        <w:t xml:space="preserve"> en menselijke inzet voor werkgroepen en voor invoering van persoonsgerichte, perioperatieve netwerkzorg in deelnemende regio</w:t>
      </w:r>
      <w:r w:rsidRPr="0096225C">
        <w:rPr>
          <w:lang w:val="nl-NL"/>
        </w:rPr>
        <w:t>’</w:t>
      </w:r>
      <w:r>
        <w:rPr>
          <w:lang w:val="pt-PT"/>
        </w:rPr>
        <w:t>s.</w:t>
      </w:r>
    </w:p>
    <w:p w:rsidR="00AC5D1D" w:rsidRPr="0096225C" w:rsidRDefault="00575AFA">
      <w:pPr>
        <w:pStyle w:val="Kop2"/>
        <w:rPr>
          <w:lang w:val="nl-NL"/>
        </w:rPr>
      </w:pPr>
      <w:r w:rsidRPr="0096225C">
        <w:rPr>
          <w:lang w:val="nl-NL"/>
        </w:rPr>
        <w:t xml:space="preserve">Kansen voor ondernemers </w:t>
      </w:r>
    </w:p>
    <w:p w:rsidR="00AC5D1D" w:rsidRPr="0096225C" w:rsidRDefault="00575AFA">
      <w:pPr>
        <w:pStyle w:val="Body2"/>
        <w:rPr>
          <w:lang w:val="nl-NL"/>
        </w:rPr>
      </w:pPr>
      <w:r w:rsidRPr="0096225C">
        <w:rPr>
          <w:lang w:val="nl-NL"/>
        </w:rPr>
        <w:t xml:space="preserve">Voor ondernemers biedt een Health Deal economische kansen door een </w:t>
      </w:r>
      <w:r>
        <w:rPr>
          <w:lang w:val="nl-NL"/>
        </w:rPr>
        <w:t>laagdrempelige mogelijkheid om samen met overheid</w:t>
      </w:r>
      <w:r w:rsidRPr="0096225C">
        <w:rPr>
          <w:lang w:val="nl-NL"/>
        </w:rPr>
        <w:t>, zorgverleners en zorgverzekeraars</w:t>
      </w:r>
      <w:r>
        <w:rPr>
          <w:lang w:val="nl-NL"/>
        </w:rPr>
        <w:t xml:space="preserve"> te werken aan het stimuleren van doelmatige</w:t>
      </w:r>
      <w:r w:rsidRPr="0096225C">
        <w:rPr>
          <w:lang w:val="nl-NL"/>
        </w:rPr>
        <w:t xml:space="preserve"> zorg</w:t>
      </w:r>
      <w:r>
        <w:rPr>
          <w:lang w:val="nl-NL"/>
        </w:rPr>
        <w:t xml:space="preserve">innovaties. </w:t>
      </w:r>
      <w:r w:rsidRPr="0096225C">
        <w:rPr>
          <w:lang w:val="nl-NL"/>
        </w:rPr>
        <w:t>A</w:t>
      </w:r>
      <w:r>
        <w:rPr>
          <w:lang w:val="nl-NL"/>
        </w:rPr>
        <w:t xml:space="preserve">an de basis van </w:t>
      </w:r>
      <w:r w:rsidRPr="0096225C">
        <w:rPr>
          <w:lang w:val="nl-NL"/>
        </w:rPr>
        <w:t>een Health Deal staan namelijk altijd i</w:t>
      </w:r>
      <w:r>
        <w:rPr>
          <w:lang w:val="nl-NL"/>
        </w:rPr>
        <w:t xml:space="preserve">nitiatieven uit het veld. </w:t>
      </w:r>
      <w:r w:rsidRPr="0096225C">
        <w:rPr>
          <w:lang w:val="nl-NL"/>
        </w:rPr>
        <w:t>Ondernemingen kunnen</w:t>
      </w:r>
      <w:r>
        <w:rPr>
          <w:lang w:val="nl-NL"/>
        </w:rPr>
        <w:t xml:space="preserve"> hun producten en diensten inbrengen en indien ze blijken te </w:t>
      </w:r>
      <w:r w:rsidRPr="0096225C">
        <w:rPr>
          <w:lang w:val="nl-NL"/>
        </w:rPr>
        <w:t>voorzien in</w:t>
      </w:r>
      <w:r>
        <w:rPr>
          <w:lang w:val="nl-NL"/>
        </w:rPr>
        <w:t xml:space="preserve"> een behoefte, </w:t>
      </w:r>
      <w:r w:rsidR="000335B9">
        <w:rPr>
          <w:lang w:val="nl-NL"/>
        </w:rPr>
        <w:t>door ontwikkelen</w:t>
      </w:r>
      <w:r>
        <w:rPr>
          <w:lang w:val="nl-NL"/>
        </w:rPr>
        <w:t xml:space="preserve"> in concrete product</w:t>
      </w:r>
      <w:r w:rsidRPr="0096225C">
        <w:rPr>
          <w:lang w:val="nl-NL"/>
        </w:rPr>
        <w:t xml:space="preserve"> / service proposities - </w:t>
      </w:r>
      <w:r>
        <w:rPr>
          <w:lang w:val="nl-NL"/>
        </w:rPr>
        <w:t>inclusief business</w:t>
      </w:r>
      <w:r w:rsidRPr="0096225C">
        <w:rPr>
          <w:lang w:val="nl-NL"/>
        </w:rPr>
        <w:t xml:space="preserve"> modellen en</w:t>
      </w:r>
      <w:r>
        <w:rPr>
          <w:lang w:val="fr-FR"/>
        </w:rPr>
        <w:t xml:space="preserve"> validatie </w:t>
      </w:r>
      <w:r w:rsidRPr="0096225C">
        <w:rPr>
          <w:lang w:val="nl-NL"/>
        </w:rPr>
        <w:t xml:space="preserve">- om </w:t>
      </w:r>
      <w:r>
        <w:rPr>
          <w:lang w:val="nl-NL"/>
        </w:rPr>
        <w:t>ze aansluitend tot maatschappelijk en economisch rendement te brengen.</w:t>
      </w:r>
      <w:r w:rsidRPr="0096225C">
        <w:rPr>
          <w:lang w:val="nl-NL"/>
        </w:rPr>
        <w:t xml:space="preserve"> </w:t>
      </w:r>
    </w:p>
    <w:p w:rsidR="00AC5D1D" w:rsidRPr="0096225C" w:rsidRDefault="00AC5D1D">
      <w:pPr>
        <w:pStyle w:val="Body"/>
        <w:rPr>
          <w:lang w:val="nl-NL"/>
        </w:rPr>
      </w:pPr>
    </w:p>
    <w:p w:rsidR="00AC5D1D" w:rsidRPr="0096225C" w:rsidRDefault="00575AFA">
      <w:pPr>
        <w:pStyle w:val="Heading"/>
        <w:rPr>
          <w:lang w:val="nl-NL"/>
        </w:rPr>
      </w:pPr>
      <w:r w:rsidRPr="0096225C">
        <w:rPr>
          <w:lang w:val="nl-NL"/>
        </w:rPr>
        <w:t>Voorbereiding H</w:t>
      </w:r>
      <w:bookmarkStart w:id="0" w:name="_GoBack"/>
      <w:bookmarkEnd w:id="0"/>
      <w:r w:rsidRPr="0096225C">
        <w:rPr>
          <w:lang w:val="nl-NL"/>
        </w:rPr>
        <w:t xml:space="preserve">ealth Deal </w:t>
      </w:r>
    </w:p>
    <w:p w:rsidR="00AC5D1D" w:rsidRPr="0096225C" w:rsidRDefault="00575AFA">
      <w:pPr>
        <w:pStyle w:val="Kop2"/>
        <w:rPr>
          <w:lang w:val="nl-NL"/>
        </w:rPr>
      </w:pPr>
      <w:r>
        <w:rPr>
          <w:lang w:val="nl-NL"/>
        </w:rPr>
        <w:t>Persoonsgerichte</w:t>
      </w:r>
      <w:r w:rsidRPr="0096225C">
        <w:rPr>
          <w:lang w:val="nl-NL"/>
        </w:rPr>
        <w:t xml:space="preserve">, perioperatieve netwerkzorg </w:t>
      </w:r>
    </w:p>
    <w:p w:rsidR="00AC5D1D" w:rsidRPr="0096225C" w:rsidRDefault="00575AFA">
      <w:pPr>
        <w:pStyle w:val="Body2"/>
        <w:rPr>
          <w:lang w:val="nl-NL"/>
        </w:rPr>
      </w:pPr>
      <w:r>
        <w:rPr>
          <w:lang w:val="nl-NL"/>
        </w:rPr>
        <w:t xml:space="preserve">Een niet fitte patiënt die een operatie ondergaat, heeft daarna een verhoogd risico op complicaties en </w:t>
      </w:r>
      <w:r w:rsidRPr="0096225C">
        <w:rPr>
          <w:lang w:val="nl-NL"/>
        </w:rPr>
        <w:t xml:space="preserve">op </w:t>
      </w:r>
      <w:r>
        <w:rPr>
          <w:lang w:val="nl-NL"/>
        </w:rPr>
        <w:t xml:space="preserve">een vertraagd of onvolledig functioneel herstel, vergeleken met fitte patiënten. Dat is niet in het belang van de patiënt en het maakt de zorg duurder dan nodig en moeilijker te plannen. </w:t>
      </w:r>
    </w:p>
    <w:p w:rsidR="00AC5D1D" w:rsidRPr="0096225C" w:rsidRDefault="00575AFA">
      <w:pPr>
        <w:pStyle w:val="Body2"/>
        <w:rPr>
          <w:lang w:val="nl-NL"/>
        </w:rPr>
      </w:pPr>
      <w:r>
        <w:rPr>
          <w:lang w:val="nl-NL"/>
        </w:rPr>
        <w:t>Om dit te ondervangen zijn er nieuwe perioperatieve zorgpaden ontwikkeld. De grootste innovatie daarin is dat patië</w:t>
      </w:r>
      <w:r w:rsidRPr="0096225C">
        <w:rPr>
          <w:lang w:val="nl-NL"/>
        </w:rPr>
        <w:t>nten,</w:t>
      </w:r>
      <w:r>
        <w:rPr>
          <w:lang w:val="nl-NL"/>
        </w:rPr>
        <w:t xml:space="preserve"> waarvoor een operatie is gepland</w:t>
      </w:r>
      <w:r w:rsidRPr="0096225C">
        <w:rPr>
          <w:lang w:val="nl-NL"/>
        </w:rPr>
        <w:t>,</w:t>
      </w:r>
      <w:r>
        <w:rPr>
          <w:lang w:val="nl-NL"/>
        </w:rPr>
        <w:t xml:space="preserve"> preoperatief worden gescreend op hun risico op complicaties en vertraagd of onvolledig herstel</w:t>
      </w:r>
      <w:r w:rsidRPr="0096225C">
        <w:rPr>
          <w:lang w:val="nl-NL"/>
        </w:rPr>
        <w:t>. Vervolgens verbeteren</w:t>
      </w:r>
      <w:r>
        <w:rPr>
          <w:lang w:val="nl-NL"/>
        </w:rPr>
        <w:t xml:space="preserve"> kwetsbare patiënten met prevalidatie op maat hun fitheid</w:t>
      </w:r>
      <w:r w:rsidRPr="0096225C">
        <w:rPr>
          <w:lang w:val="nl-NL"/>
        </w:rPr>
        <w:t xml:space="preserve"> </w:t>
      </w:r>
      <w:r w:rsidRPr="0096225C">
        <w:rPr>
          <w:lang w:val="nl-NL"/>
        </w:rPr>
        <w:lastRenderedPageBreak/>
        <w:t xml:space="preserve">en verlagen zo </w:t>
      </w:r>
      <w:r>
        <w:rPr>
          <w:lang w:val="da-DK"/>
        </w:rPr>
        <w:t xml:space="preserve">hun </w:t>
      </w:r>
      <w:r w:rsidRPr="0096225C">
        <w:rPr>
          <w:lang w:val="nl-NL"/>
        </w:rPr>
        <w:t xml:space="preserve">persoonlijke </w:t>
      </w:r>
      <w:r>
        <w:rPr>
          <w:lang w:val="nl-NL"/>
        </w:rPr>
        <w:t xml:space="preserve">herstelrisico. </w:t>
      </w:r>
      <w:r w:rsidRPr="0096225C">
        <w:rPr>
          <w:lang w:val="nl-NL"/>
        </w:rPr>
        <w:t>P</w:t>
      </w:r>
      <w:r>
        <w:rPr>
          <w:lang w:val="nl-NL"/>
        </w:rPr>
        <w:t xml:space="preserve">revalidatie omvat meestal fysieke training en een voedingsinterventie, soms ook psychologische zorg </w:t>
      </w:r>
      <w:r w:rsidRPr="0096225C">
        <w:rPr>
          <w:lang w:val="nl-NL"/>
        </w:rPr>
        <w:t>en / of begeleiding bij</w:t>
      </w:r>
      <w:r>
        <w:rPr>
          <w:lang w:val="nl-NL"/>
        </w:rPr>
        <w:t xml:space="preserve"> leefstijl</w:t>
      </w:r>
      <w:r w:rsidRPr="0096225C">
        <w:rPr>
          <w:lang w:val="nl-NL"/>
        </w:rPr>
        <w:t xml:space="preserve">-verandering. </w:t>
      </w:r>
    </w:p>
    <w:p w:rsidR="00AC5D1D" w:rsidRPr="0096225C" w:rsidRDefault="00575AFA">
      <w:pPr>
        <w:pStyle w:val="Body2"/>
        <w:rPr>
          <w:lang w:val="nl-NL"/>
        </w:rPr>
      </w:pPr>
      <w:r>
        <w:rPr>
          <w:lang w:val="nl-NL"/>
        </w:rPr>
        <w:t xml:space="preserve">Persoonsgerichte, perioperatieve zorg voor </w:t>
      </w:r>
      <w:r w:rsidRPr="0096225C">
        <w:rPr>
          <w:lang w:val="nl-NL"/>
        </w:rPr>
        <w:t>kwetsbare chirurgische pati</w:t>
      </w:r>
      <w:r>
        <w:rPr>
          <w:lang w:val="nl-NL"/>
        </w:rPr>
        <w:t>ë</w:t>
      </w:r>
      <w:r w:rsidRPr="0096225C">
        <w:rPr>
          <w:lang w:val="nl-NL"/>
        </w:rPr>
        <w:t xml:space="preserve">nten </w:t>
      </w:r>
      <w:r>
        <w:rPr>
          <w:lang w:val="nl-NL"/>
        </w:rPr>
        <w:t>voorkomt aantoonbaar morbiditeit en verbetert</w:t>
      </w:r>
      <w:r w:rsidRPr="0096225C">
        <w:rPr>
          <w:lang w:val="nl-NL"/>
        </w:rPr>
        <w:t xml:space="preserve"> en versnelt hun herstel. B</w:t>
      </w:r>
      <w:r>
        <w:rPr>
          <w:lang w:val="nl-NL"/>
        </w:rPr>
        <w:t>ijkomend voordeel</w:t>
      </w:r>
      <w:r w:rsidRPr="0096225C">
        <w:rPr>
          <w:lang w:val="nl-NL"/>
        </w:rPr>
        <w:t xml:space="preserve"> is dat kosten </w:t>
      </w:r>
      <w:r>
        <w:rPr>
          <w:lang w:val="nl-NL"/>
        </w:rPr>
        <w:t>worden</w:t>
      </w:r>
      <w:r w:rsidRPr="0096225C">
        <w:rPr>
          <w:lang w:val="nl-NL"/>
        </w:rPr>
        <w:t xml:space="preserve"> bespaard, door </w:t>
      </w:r>
      <w:r>
        <w:rPr>
          <w:lang w:val="nl-NL"/>
        </w:rPr>
        <w:t xml:space="preserve">minder complicaties, een korter ziekenhuisverblijf </w:t>
      </w:r>
      <w:r w:rsidRPr="0096225C">
        <w:rPr>
          <w:lang w:val="nl-NL"/>
        </w:rPr>
        <w:t>en</w:t>
      </w:r>
      <w:r>
        <w:rPr>
          <w:lang w:val="nl-NL"/>
        </w:rPr>
        <w:t xml:space="preserve"> een lagere intensiteit en kortere duur van nazorg.</w:t>
      </w:r>
      <w:r w:rsidRPr="0096225C">
        <w:rPr>
          <w:lang w:val="nl-NL"/>
        </w:rPr>
        <w:t xml:space="preserve"> </w:t>
      </w:r>
    </w:p>
    <w:p w:rsidR="00AC5D1D" w:rsidRPr="0096225C" w:rsidRDefault="00575AFA">
      <w:pPr>
        <w:pStyle w:val="Kop2"/>
        <w:rPr>
          <w:lang w:val="nl-NL"/>
        </w:rPr>
      </w:pPr>
      <w:r w:rsidRPr="0096225C">
        <w:rPr>
          <w:lang w:val="nl-NL"/>
        </w:rPr>
        <w:t>Opschaling en r</w:t>
      </w:r>
      <w:r>
        <w:rPr>
          <w:lang w:val="nl-NL"/>
        </w:rPr>
        <w:t>egionale samenwerkingen</w:t>
      </w:r>
      <w:r w:rsidRPr="0096225C">
        <w:rPr>
          <w:lang w:val="nl-NL"/>
        </w:rPr>
        <w:t xml:space="preserve"> </w:t>
      </w:r>
    </w:p>
    <w:p w:rsidR="00AC5D1D" w:rsidRPr="0096225C" w:rsidRDefault="00575AFA">
      <w:pPr>
        <w:pStyle w:val="Body2"/>
        <w:rPr>
          <w:lang w:val="nl-NL"/>
        </w:rPr>
      </w:pPr>
      <w:r>
        <w:rPr>
          <w:lang w:val="nl-NL"/>
        </w:rPr>
        <w:t xml:space="preserve">Een aantal </w:t>
      </w:r>
      <w:r w:rsidRPr="0096225C">
        <w:rPr>
          <w:lang w:val="nl-NL"/>
        </w:rPr>
        <w:t>“</w:t>
      </w:r>
      <w:r>
        <w:rPr>
          <w:lang w:val="nl-NL"/>
        </w:rPr>
        <w:t>koploper</w:t>
      </w:r>
      <w:r w:rsidRPr="0096225C">
        <w:rPr>
          <w:lang w:val="nl-NL"/>
        </w:rPr>
        <w:t xml:space="preserve">” </w:t>
      </w:r>
      <w:r>
        <w:rPr>
          <w:lang w:val="nl-NL"/>
        </w:rPr>
        <w:t xml:space="preserve">ziekenhuizen heeft een dergelijk nieuw perioperatief zorgpad voor tenminste </w:t>
      </w:r>
      <w:r>
        <w:rPr>
          <w:lang w:val="fr-FR"/>
        </w:rPr>
        <w:t>éé</w:t>
      </w:r>
      <w:r>
        <w:rPr>
          <w:lang w:val="nl-NL"/>
        </w:rPr>
        <w:t>n type operatie georganiseerd en succesvol in gebruik genomen. Begeleiding van training en andere interventies gebeurt bij voorkeur bij de patiënt thuis. Daartoe hebben diverse koploper ziekenhuizen regionale samenwerking</w:t>
      </w:r>
      <w:r w:rsidRPr="0096225C">
        <w:rPr>
          <w:lang w:val="nl-NL"/>
        </w:rPr>
        <w:t>en</w:t>
      </w:r>
      <w:r>
        <w:rPr>
          <w:lang w:val="nl-NL"/>
        </w:rPr>
        <w:t xml:space="preserve"> georganiseerd met speciaal getrainde eerstelijns paramedici.</w:t>
      </w:r>
    </w:p>
    <w:p w:rsidR="00AC5D1D" w:rsidRPr="0096225C" w:rsidRDefault="00575AFA">
      <w:pPr>
        <w:pStyle w:val="Body2"/>
        <w:rPr>
          <w:lang w:val="nl-NL"/>
        </w:rPr>
      </w:pPr>
      <w:r>
        <w:rPr>
          <w:lang w:val="nl-NL"/>
        </w:rPr>
        <w:t>Dankzij deze pilot studies is een groeiende groep medisch specialisten ervan overtuigd dat persoonsgerichte perioperatieve netwerkzorg noodzakelijk is en dus toegankelijk moet zijn voor alle niet fitte patiënten die een geplande operatie willen ondergaan. Om dit te bereiken moet de nieuwe aanpak voorbij het huidige pilot</w:t>
      </w:r>
      <w:r w:rsidRPr="0096225C">
        <w:rPr>
          <w:lang w:val="nl-NL"/>
        </w:rPr>
        <w:t>-</w:t>
      </w:r>
      <w:r>
        <w:rPr>
          <w:lang w:val="nl-NL"/>
        </w:rPr>
        <w:t>stadium komen en opgeschaald worden</w:t>
      </w:r>
      <w:r w:rsidRPr="0096225C">
        <w:rPr>
          <w:lang w:val="nl-NL"/>
        </w:rPr>
        <w:t>,</w:t>
      </w:r>
      <w:r>
        <w:rPr>
          <w:lang w:val="nl-NL"/>
        </w:rPr>
        <w:t xml:space="preserve"> teneinde een landelijke dekking te bereiken. </w:t>
      </w:r>
    </w:p>
    <w:p w:rsidR="00AC5D1D" w:rsidRPr="0096225C" w:rsidRDefault="00575AFA">
      <w:pPr>
        <w:pStyle w:val="Body2"/>
        <w:rPr>
          <w:lang w:val="nl-NL"/>
        </w:rPr>
      </w:pPr>
      <w:r>
        <w:rPr>
          <w:lang w:val="nl-NL"/>
        </w:rPr>
        <w:t>De ervaring van koplopers en ziekenhuizen die met deze zorginnovatie willen starten, leert dat het voor opschaling nodig is om een aantal knelpunten op te lossen.</w:t>
      </w:r>
      <w:r w:rsidRPr="0096225C">
        <w:rPr>
          <w:lang w:val="nl-NL"/>
        </w:rPr>
        <w:t xml:space="preserve"> Het instrument Health Deal leent zich hiervoor. </w:t>
      </w:r>
    </w:p>
    <w:p w:rsidR="00AC5D1D" w:rsidRPr="0096225C" w:rsidRDefault="00575AFA">
      <w:pPr>
        <w:pStyle w:val="Kop2"/>
        <w:rPr>
          <w:lang w:val="nl-NL"/>
        </w:rPr>
      </w:pPr>
      <w:r w:rsidRPr="0096225C">
        <w:rPr>
          <w:lang w:val="nl-NL"/>
        </w:rPr>
        <w:t>D</w:t>
      </w:r>
      <w:r>
        <w:rPr>
          <w:lang w:val="nl-NL"/>
        </w:rPr>
        <w:t>oelstellingen</w:t>
      </w:r>
      <w:r w:rsidRPr="0096225C">
        <w:rPr>
          <w:lang w:val="nl-NL"/>
        </w:rPr>
        <w:t xml:space="preserve"> Health Deal </w:t>
      </w:r>
    </w:p>
    <w:p w:rsidR="00AC5D1D" w:rsidRPr="0096225C" w:rsidRDefault="00575AFA">
      <w:pPr>
        <w:pStyle w:val="Body2"/>
        <w:rPr>
          <w:lang w:val="nl-NL"/>
        </w:rPr>
      </w:pPr>
      <w:r>
        <w:rPr>
          <w:lang w:val="nl-NL"/>
        </w:rPr>
        <w:t xml:space="preserve">Het doel van een Health Deal is het vinden van eerste oplossingen voor de </w:t>
      </w:r>
      <w:r w:rsidRPr="0096225C">
        <w:rPr>
          <w:lang w:val="nl-NL"/>
        </w:rPr>
        <w:t>voornaamste</w:t>
      </w:r>
      <w:r>
        <w:rPr>
          <w:lang w:val="nl-NL"/>
        </w:rPr>
        <w:t xml:space="preserve"> knelpunten en die oplossingen op basis van ervaringen tijdens de looptijd van de Health Deal verder te verbeteren, om de landelijke uitrol van het nieuwe zorgproces te </w:t>
      </w:r>
      <w:r w:rsidRPr="0096225C">
        <w:rPr>
          <w:lang w:val="nl-NL"/>
        </w:rPr>
        <w:t>bespoedigen</w:t>
      </w:r>
      <w:r>
        <w:rPr>
          <w:lang w:val="nl-NL"/>
        </w:rPr>
        <w:t xml:space="preserve">. Eind 2017 stelde het KNGF, samen met MUMC+, UM, TNO, Care IQ en met steun van diverse </w:t>
      </w:r>
      <w:r w:rsidRPr="0096225C">
        <w:rPr>
          <w:lang w:val="nl-NL"/>
        </w:rPr>
        <w:t>‘</w:t>
      </w:r>
      <w:r>
        <w:rPr>
          <w:lang w:val="nl-NL"/>
        </w:rPr>
        <w:t>koploper</w:t>
      </w:r>
      <w:r w:rsidRPr="0096225C">
        <w:rPr>
          <w:lang w:val="nl-NL"/>
        </w:rPr>
        <w:t>’</w:t>
      </w:r>
      <w:r>
        <w:rPr>
          <w:lang w:val="nl-NL"/>
        </w:rPr>
        <w:t xml:space="preserve">-ziekenhuizen, de Health Deal </w:t>
      </w:r>
      <w:r w:rsidRPr="0096225C">
        <w:rPr>
          <w:lang w:val="nl-NL"/>
        </w:rPr>
        <w:t>p</w:t>
      </w:r>
      <w:r>
        <w:rPr>
          <w:lang w:val="nl-NL"/>
        </w:rPr>
        <w:t xml:space="preserve">ersoonsgerichte </w:t>
      </w:r>
      <w:r w:rsidRPr="0096225C">
        <w:rPr>
          <w:lang w:val="nl-NL"/>
        </w:rPr>
        <w:t>p</w:t>
      </w:r>
      <w:r>
        <w:rPr>
          <w:lang w:val="nl-NL"/>
        </w:rPr>
        <w:t xml:space="preserve">erioperatieve </w:t>
      </w:r>
      <w:r w:rsidRPr="0096225C">
        <w:rPr>
          <w:lang w:val="nl-NL"/>
        </w:rPr>
        <w:t>n</w:t>
      </w:r>
      <w:r>
        <w:rPr>
          <w:lang w:val="nl-NL"/>
        </w:rPr>
        <w:t>etwerkzorg voor aan het ministerie van VWS. Dit voorstel werd positief ontvangen.</w:t>
      </w:r>
    </w:p>
    <w:p w:rsidR="00AC5D1D" w:rsidRPr="0096225C" w:rsidRDefault="00575AFA">
      <w:pPr>
        <w:pStyle w:val="Body2"/>
        <w:rPr>
          <w:lang w:val="nl-NL"/>
        </w:rPr>
      </w:pPr>
      <w:r>
        <w:rPr>
          <w:lang w:val="nl-NL"/>
        </w:rPr>
        <w:t>Sindsdien is de Health Deal met diverse partijen (ziekenhuizen, beroepsorganisaties, verzekeraars, patië</w:t>
      </w:r>
      <w:r>
        <w:rPr>
          <w:lang w:val="de-DE"/>
        </w:rPr>
        <w:t>nten, FME en</w:t>
      </w:r>
      <w:r w:rsidRPr="0096225C">
        <w:rPr>
          <w:lang w:val="nl-NL"/>
        </w:rPr>
        <w:t xml:space="preserve"> de ministeries van EZK en </w:t>
      </w:r>
      <w:r>
        <w:rPr>
          <w:lang w:val="nl-NL"/>
        </w:rPr>
        <w:t xml:space="preserve">VWS) verder </w:t>
      </w:r>
      <w:r w:rsidRPr="0096225C">
        <w:rPr>
          <w:lang w:val="nl-NL"/>
        </w:rPr>
        <w:t>voorbereid</w:t>
      </w:r>
      <w:r>
        <w:rPr>
          <w:lang w:val="nl-NL"/>
        </w:rPr>
        <w:t xml:space="preserve">. Het voorstel is dat zij samenwerken om het doel van de Health Deal te bereiken aan de hand van </w:t>
      </w:r>
      <w:r w:rsidRPr="0096225C">
        <w:rPr>
          <w:lang w:val="nl-NL"/>
        </w:rPr>
        <w:t xml:space="preserve">de volgende </w:t>
      </w:r>
      <w:r>
        <w:rPr>
          <w:lang w:val="nl-NL"/>
        </w:rPr>
        <w:t>vier actielijnen</w:t>
      </w:r>
      <w:r w:rsidRPr="0096225C">
        <w:rPr>
          <w:lang w:val="nl-NL"/>
        </w:rPr>
        <w:t xml:space="preserve">: </w:t>
      </w:r>
    </w:p>
    <w:p w:rsidR="00AC5D1D" w:rsidRPr="0096225C" w:rsidRDefault="00575AFA">
      <w:pPr>
        <w:pStyle w:val="Body2"/>
        <w:numPr>
          <w:ilvl w:val="0"/>
          <w:numId w:val="2"/>
        </w:numPr>
        <w:rPr>
          <w:lang w:val="nl-NL"/>
        </w:rPr>
      </w:pPr>
      <w:r>
        <w:rPr>
          <w:u w:val="single"/>
          <w:lang w:val="nl-NL"/>
        </w:rPr>
        <w:t>Actielijn 1: Perioperatieve zorginhoud</w:t>
      </w:r>
      <w:r w:rsidRPr="0096225C">
        <w:rPr>
          <w:lang w:val="nl-NL"/>
        </w:rPr>
        <w:t xml:space="preserve"> - d</w:t>
      </w:r>
      <w:r>
        <w:rPr>
          <w:lang w:val="nl-NL"/>
        </w:rPr>
        <w:t xml:space="preserve">oel is het beschrijven van de noodzakelijke perioperatieve zorginhoud en -organisatie en mogelijkheden te vinden om deze mede door studie van eigen zorgdata verder te ontwikkelen. Dit moet bij opschaling helpen de kwaliteit van de nieuwe zorgpraktijk te verzekeren, de waarde van de zorg voortdurend te vergroten en toekomstige contractering eenduidiger te maken. </w:t>
      </w:r>
    </w:p>
    <w:p w:rsidR="00AC5D1D" w:rsidRPr="0096225C" w:rsidRDefault="00575AFA">
      <w:pPr>
        <w:pStyle w:val="Body2"/>
        <w:numPr>
          <w:ilvl w:val="0"/>
          <w:numId w:val="2"/>
        </w:numPr>
        <w:rPr>
          <w:lang w:val="nl-NL"/>
        </w:rPr>
      </w:pPr>
      <w:r>
        <w:rPr>
          <w:u w:val="single"/>
          <w:lang w:val="nl-NL"/>
        </w:rPr>
        <w:t>Actielijn 2: Praktijkuitwisseling en competentieopbouw</w:t>
      </w:r>
      <w:r w:rsidRPr="0096225C">
        <w:rPr>
          <w:lang w:val="nl-NL"/>
        </w:rPr>
        <w:t xml:space="preserve"> - d</w:t>
      </w:r>
      <w:r>
        <w:rPr>
          <w:lang w:val="nl-NL"/>
        </w:rPr>
        <w:t>e doelen van deze actielijn zijn het bevorderen van de overdracht van goed werkende praktijkoplossingen van ervaren naar startende ziekenhuizen en het op landelijke schaal ondersteunen van competentieopbouw voor zorg dichtbij de patië</w:t>
      </w:r>
      <w:r w:rsidRPr="0096225C">
        <w:rPr>
          <w:lang w:val="nl-NL"/>
        </w:rPr>
        <w:t xml:space="preserve">nt. </w:t>
      </w:r>
    </w:p>
    <w:p w:rsidR="000335B9" w:rsidRDefault="00575AFA" w:rsidP="000335B9">
      <w:pPr>
        <w:pStyle w:val="Body2"/>
        <w:numPr>
          <w:ilvl w:val="0"/>
          <w:numId w:val="2"/>
        </w:numPr>
        <w:rPr>
          <w:lang w:val="nl-NL"/>
        </w:rPr>
      </w:pPr>
      <w:r>
        <w:rPr>
          <w:u w:val="single"/>
          <w:lang w:val="nl-NL"/>
        </w:rPr>
        <w:t>Actielijn 3: Een duurzaam economisch model</w:t>
      </w:r>
      <w:r w:rsidRPr="0096225C">
        <w:rPr>
          <w:lang w:val="nl-NL"/>
        </w:rPr>
        <w:t xml:space="preserve"> - h</w:t>
      </w:r>
      <w:r>
        <w:rPr>
          <w:lang w:val="nl-NL"/>
        </w:rPr>
        <w:t xml:space="preserve">et doel van deze actielijn is dat de betrokken ziekenhuizen en eerstelijns zorgverleners kunnen werken met een bekostigingsmodel dat hun het vertrouwen geeft om persoonsgerichte perioperatieve netwerkzorg te starten en duurzaam te leveren, inclusief risicostratificatie en begeleiding van prevalidatie voor alle patiënten met een hoog risico op vertraagd of onvolledig herstel. </w:t>
      </w:r>
    </w:p>
    <w:p w:rsidR="000335B9" w:rsidRDefault="000335B9" w:rsidP="000335B9">
      <w:pPr>
        <w:pStyle w:val="Body2"/>
        <w:ind w:left="216"/>
        <w:rPr>
          <w:u w:val="single"/>
          <w:lang w:val="nl-NL"/>
        </w:rPr>
      </w:pPr>
    </w:p>
    <w:p w:rsidR="000335B9" w:rsidRPr="000335B9" w:rsidRDefault="000335B9" w:rsidP="000335B9">
      <w:pPr>
        <w:pStyle w:val="Body2"/>
        <w:ind w:left="216"/>
        <w:rPr>
          <w:lang w:val="nl-NL"/>
        </w:rPr>
      </w:pPr>
    </w:p>
    <w:p w:rsidR="00AC5D1D" w:rsidRPr="0096225C" w:rsidRDefault="00575AFA">
      <w:pPr>
        <w:pStyle w:val="Body2"/>
        <w:numPr>
          <w:ilvl w:val="0"/>
          <w:numId w:val="2"/>
        </w:numPr>
        <w:rPr>
          <w:lang w:val="nl-NL"/>
        </w:rPr>
      </w:pPr>
      <w:r>
        <w:rPr>
          <w:u w:val="single"/>
          <w:lang w:val="nl-NL"/>
        </w:rPr>
        <w:lastRenderedPageBreak/>
        <w:t>Actielijn 4: Faciliterende producten en diensten</w:t>
      </w:r>
      <w:r w:rsidRPr="0096225C">
        <w:rPr>
          <w:lang w:val="nl-NL"/>
        </w:rPr>
        <w:t xml:space="preserve"> - d</w:t>
      </w:r>
      <w:r>
        <w:rPr>
          <w:lang w:val="nl-NL"/>
        </w:rPr>
        <w:t>oel is het geco</w:t>
      </w:r>
      <w:r>
        <w:rPr>
          <w:lang w:val="sv-SE"/>
        </w:rPr>
        <w:t>ö</w:t>
      </w:r>
      <w:r>
        <w:rPr>
          <w:lang w:val="nl-NL"/>
        </w:rPr>
        <w:t xml:space="preserve">rdineerd en gezamenlijk door ondernemingen en gebruikers laten onderzoeken welke nieuwe producten, diensten en businessmodellen nodig zijn ter ondersteuning van opschaling en </w:t>
      </w:r>
      <w:r w:rsidR="000335B9">
        <w:rPr>
          <w:lang w:val="nl-NL"/>
        </w:rPr>
        <w:t>waard verhoging</w:t>
      </w:r>
      <w:r>
        <w:rPr>
          <w:lang w:val="nl-NL"/>
        </w:rPr>
        <w:t xml:space="preserve"> van perioperatieve netwerkzorg. Dit moet klantgerichte ontwikkeling en uiteindelijk beschikbaarheid van zulke producten en diensten bevorderen. </w:t>
      </w:r>
    </w:p>
    <w:p w:rsidR="00AC5D1D" w:rsidRPr="0096225C" w:rsidRDefault="00575AFA">
      <w:pPr>
        <w:pStyle w:val="Body2"/>
        <w:rPr>
          <w:lang w:val="nl-NL"/>
        </w:rPr>
      </w:pPr>
      <w:r w:rsidRPr="0096225C">
        <w:rPr>
          <w:lang w:val="nl-NL"/>
        </w:rPr>
        <w:t>De ambitie</w:t>
      </w:r>
      <w:r>
        <w:rPr>
          <w:lang w:val="nl-NL"/>
        </w:rPr>
        <w:t xml:space="preserve"> is om de Health Deal in het voorjaar van 2019 van start te laten gaan voor een looptijd van twee jaar. Deelnemers aan de Health Deal plannen en leveren </w:t>
      </w:r>
      <w:r w:rsidRPr="0096225C">
        <w:rPr>
          <w:lang w:val="nl-NL"/>
        </w:rPr>
        <w:t xml:space="preserve">middelen en </w:t>
      </w:r>
      <w:r>
        <w:rPr>
          <w:lang w:val="nl-NL"/>
        </w:rPr>
        <w:t>menselijke inzet voor werkgroepen</w:t>
      </w:r>
      <w:r w:rsidRPr="0096225C">
        <w:rPr>
          <w:lang w:val="nl-NL"/>
        </w:rPr>
        <w:t xml:space="preserve"> </w:t>
      </w:r>
      <w:r>
        <w:rPr>
          <w:lang w:val="nl-NL"/>
        </w:rPr>
        <w:t>en voor invoering van</w:t>
      </w:r>
      <w:r w:rsidRPr="0096225C">
        <w:rPr>
          <w:lang w:val="nl-NL"/>
        </w:rPr>
        <w:t xml:space="preserve"> persoonsgerichte, perioperatieve netwerkzorg in deelnemende regio’s. </w:t>
      </w:r>
    </w:p>
    <w:p w:rsidR="00AC5D1D" w:rsidRPr="0096225C" w:rsidRDefault="00575AFA">
      <w:pPr>
        <w:pStyle w:val="Kop2"/>
        <w:rPr>
          <w:lang w:val="nl-NL"/>
        </w:rPr>
      </w:pPr>
      <w:r w:rsidRPr="0096225C">
        <w:rPr>
          <w:lang w:val="nl-NL"/>
        </w:rPr>
        <w:t>A</w:t>
      </w:r>
      <w:r>
        <w:rPr>
          <w:lang w:val="nl-NL"/>
        </w:rPr>
        <w:t>ctielijn 4</w:t>
      </w:r>
      <w:r w:rsidRPr="0096225C">
        <w:rPr>
          <w:lang w:val="nl-NL"/>
        </w:rPr>
        <w:t xml:space="preserve">: </w:t>
      </w:r>
      <w:r>
        <w:rPr>
          <w:lang w:val="nl-NL"/>
        </w:rPr>
        <w:t>kansen voor</w:t>
      </w:r>
      <w:r w:rsidRPr="0096225C">
        <w:rPr>
          <w:lang w:val="nl-NL"/>
        </w:rPr>
        <w:t xml:space="preserve"> </w:t>
      </w:r>
      <w:r>
        <w:rPr>
          <w:lang w:val="nl-NL"/>
        </w:rPr>
        <w:t xml:space="preserve">deelnemende </w:t>
      </w:r>
      <w:r w:rsidRPr="0096225C">
        <w:rPr>
          <w:lang w:val="nl-NL"/>
        </w:rPr>
        <w:t xml:space="preserve">ondernemingen </w:t>
      </w:r>
    </w:p>
    <w:p w:rsidR="00AC5D1D" w:rsidRPr="0096225C" w:rsidRDefault="00575AFA">
      <w:pPr>
        <w:pStyle w:val="Body2"/>
        <w:rPr>
          <w:lang w:val="nl-NL"/>
        </w:rPr>
      </w:pPr>
      <w:r>
        <w:rPr>
          <w:lang w:val="nl-NL"/>
        </w:rPr>
        <w:t>De beoogde samenwerkingen</w:t>
      </w:r>
      <w:r w:rsidRPr="0096225C">
        <w:rPr>
          <w:lang w:val="nl-NL"/>
        </w:rPr>
        <w:t xml:space="preserve"> </w:t>
      </w:r>
      <w:r>
        <w:rPr>
          <w:lang w:val="nl-NL"/>
        </w:rPr>
        <w:t>van ondernemingen met zorgprofessionals en patië</w:t>
      </w:r>
      <w:r w:rsidRPr="0096225C">
        <w:rPr>
          <w:lang w:val="nl-NL"/>
        </w:rPr>
        <w:t>nten</w:t>
      </w:r>
      <w:r>
        <w:rPr>
          <w:lang w:val="nl-NL"/>
        </w:rPr>
        <w:t xml:space="preserve"> zullen gericht zijn op het vaststellen van specifieke gebruikerseisen aan oplossingen voor de perioperatieve zorg</w:t>
      </w:r>
      <w:r w:rsidRPr="0096225C">
        <w:rPr>
          <w:lang w:val="nl-NL"/>
        </w:rPr>
        <w:t>.</w:t>
      </w:r>
      <w:r>
        <w:rPr>
          <w:lang w:val="nl-NL"/>
        </w:rPr>
        <w:t xml:space="preserve"> </w:t>
      </w:r>
      <w:r w:rsidRPr="0096225C">
        <w:rPr>
          <w:lang w:val="nl-NL"/>
        </w:rPr>
        <w:t>Daarnaast creëren de actielijnen 1-3 de randvoorwaarden om het</w:t>
      </w:r>
      <w:r>
        <w:rPr>
          <w:lang w:val="nl-NL"/>
        </w:rPr>
        <w:t xml:space="preserve"> testen en valideren van deze oplossingen met gebruikers</w:t>
      </w:r>
      <w:r w:rsidRPr="0096225C">
        <w:rPr>
          <w:lang w:val="nl-NL"/>
        </w:rPr>
        <w:t xml:space="preserve"> te versnellen</w:t>
      </w:r>
      <w:r>
        <w:rPr>
          <w:lang w:val="nl-NL"/>
        </w:rPr>
        <w:t xml:space="preserve">, </w:t>
      </w:r>
      <w:r w:rsidRPr="0096225C">
        <w:rPr>
          <w:lang w:val="nl-NL"/>
        </w:rPr>
        <w:t xml:space="preserve">op landelijke schaal en </w:t>
      </w:r>
      <w:r>
        <w:rPr>
          <w:lang w:val="nl-NL"/>
        </w:rPr>
        <w:t xml:space="preserve">deels in de praktijk. </w:t>
      </w:r>
      <w:r w:rsidRPr="0096225C">
        <w:rPr>
          <w:lang w:val="nl-NL"/>
        </w:rPr>
        <w:t>Deze werkwijze voor</w:t>
      </w:r>
      <w:r>
        <w:rPr>
          <w:lang w:val="nl-NL"/>
        </w:rPr>
        <w:t xml:space="preserve"> </w:t>
      </w:r>
      <w:r w:rsidR="000335B9">
        <w:rPr>
          <w:lang w:val="nl-NL"/>
        </w:rPr>
        <w:t>vraag gestuurde</w:t>
      </w:r>
      <w:r>
        <w:rPr>
          <w:lang w:val="nl-NL"/>
        </w:rPr>
        <w:t xml:space="preserve"> innovatie vergroot de kans op introductie van doelmatige producten of diensten en levert vroegtijdig publiceerbare beoordelingen </w:t>
      </w:r>
      <w:r w:rsidRPr="0096225C">
        <w:rPr>
          <w:lang w:val="nl-NL"/>
        </w:rPr>
        <w:t xml:space="preserve">op </w:t>
      </w:r>
      <w:r>
        <w:rPr>
          <w:lang w:val="nl-NL"/>
        </w:rPr>
        <w:t>door representatieve gebruikers.</w:t>
      </w:r>
      <w:r w:rsidRPr="0096225C">
        <w:rPr>
          <w:lang w:val="nl-NL"/>
        </w:rPr>
        <w:t xml:space="preserve"> </w:t>
      </w:r>
    </w:p>
    <w:p w:rsidR="00AC5D1D" w:rsidRPr="0096225C" w:rsidRDefault="00575AFA">
      <w:pPr>
        <w:pStyle w:val="Kop2"/>
        <w:rPr>
          <w:lang w:val="nl-NL"/>
        </w:rPr>
      </w:pPr>
      <w:r w:rsidRPr="0096225C">
        <w:rPr>
          <w:lang w:val="nl-NL"/>
        </w:rPr>
        <w:t>A</w:t>
      </w:r>
      <w:r>
        <w:rPr>
          <w:lang w:val="nl-NL"/>
        </w:rPr>
        <w:t>ctielijn 4</w:t>
      </w:r>
      <w:r w:rsidRPr="0096225C">
        <w:rPr>
          <w:lang w:val="nl-NL"/>
        </w:rPr>
        <w:t xml:space="preserve">: coördinatie door ondernemersvereniging FME </w:t>
      </w:r>
    </w:p>
    <w:p w:rsidR="00AC5D1D" w:rsidRPr="0096225C" w:rsidRDefault="00575AFA">
      <w:pPr>
        <w:pStyle w:val="Body2"/>
        <w:rPr>
          <w:lang w:val="nl-NL"/>
        </w:rPr>
      </w:pPr>
      <w:r w:rsidRPr="0096225C">
        <w:rPr>
          <w:lang w:val="nl-NL"/>
        </w:rPr>
        <w:t xml:space="preserve">Als </w:t>
      </w:r>
      <w:r w:rsidR="000335B9" w:rsidRPr="0096225C">
        <w:rPr>
          <w:lang w:val="nl-NL"/>
        </w:rPr>
        <w:t>medeondertekenaar</w:t>
      </w:r>
      <w:r w:rsidRPr="0096225C">
        <w:rPr>
          <w:lang w:val="nl-NL"/>
        </w:rPr>
        <w:t xml:space="preserve"> van de Health Deal </w:t>
      </w:r>
      <w:r>
        <w:rPr>
          <w:lang w:val="nl-NL"/>
        </w:rPr>
        <w:t>bevordert en co</w:t>
      </w:r>
      <w:r>
        <w:rPr>
          <w:lang w:val="sv-SE"/>
        </w:rPr>
        <w:t>ö</w:t>
      </w:r>
      <w:r>
        <w:rPr>
          <w:lang w:val="nl-NL"/>
        </w:rPr>
        <w:t>rdineert</w:t>
      </w:r>
      <w:r w:rsidRPr="0096225C">
        <w:rPr>
          <w:lang w:val="nl-NL"/>
        </w:rPr>
        <w:t xml:space="preserve"> FME</w:t>
      </w:r>
      <w:r>
        <w:rPr>
          <w:lang w:val="nl-NL"/>
        </w:rPr>
        <w:t xml:space="preserve"> gedurende de looptijd van de Health Deal samenwerkingen</w:t>
      </w:r>
      <w:r w:rsidRPr="0096225C">
        <w:rPr>
          <w:lang w:val="nl-NL"/>
        </w:rPr>
        <w:t xml:space="preserve"> </w:t>
      </w:r>
      <w:r>
        <w:rPr>
          <w:lang w:val="nl-NL"/>
        </w:rPr>
        <w:t xml:space="preserve">van </w:t>
      </w:r>
      <w:r w:rsidRPr="0096225C">
        <w:rPr>
          <w:lang w:val="nl-NL"/>
        </w:rPr>
        <w:t>ondernemingen</w:t>
      </w:r>
      <w:r>
        <w:rPr>
          <w:lang w:val="nl-NL"/>
        </w:rPr>
        <w:t xml:space="preserve"> met zorgprofessionals en patiënten in overeenstemming met de doelstelling</w:t>
      </w:r>
      <w:r w:rsidRPr="0096225C">
        <w:rPr>
          <w:lang w:val="nl-NL"/>
        </w:rPr>
        <w:t xml:space="preserve"> </w:t>
      </w:r>
      <w:r>
        <w:rPr>
          <w:lang w:val="nl-NL"/>
        </w:rPr>
        <w:t>van actielijn</w:t>
      </w:r>
      <w:r w:rsidRPr="0096225C">
        <w:rPr>
          <w:lang w:val="nl-NL"/>
        </w:rPr>
        <w:t xml:space="preserve"> 4</w:t>
      </w:r>
      <w:r>
        <w:rPr>
          <w:lang w:val="nl-NL"/>
        </w:rPr>
        <w:t xml:space="preserve">. Daarbij worden </w:t>
      </w:r>
      <w:r w:rsidRPr="0096225C">
        <w:rPr>
          <w:lang w:val="nl-NL"/>
        </w:rPr>
        <w:t xml:space="preserve">passende en complementaire </w:t>
      </w:r>
      <w:r>
        <w:rPr>
          <w:lang w:val="nl-NL"/>
        </w:rPr>
        <w:t>combinaties nagestreefd van partijen in de door FME</w:t>
      </w:r>
      <w:r w:rsidRPr="0096225C">
        <w:rPr>
          <w:lang w:val="nl-NL"/>
        </w:rPr>
        <w:t xml:space="preserve"> </w:t>
      </w:r>
      <w:r>
        <w:rPr>
          <w:lang w:val="nl-NL"/>
        </w:rPr>
        <w:t>onderscheiden domeinen zorg, voeding, technologie en de gebouwde en sociale omgeving.</w:t>
      </w:r>
      <w:r w:rsidRPr="0096225C">
        <w:rPr>
          <w:lang w:val="nl-NL"/>
        </w:rPr>
        <w:t xml:space="preserve"> </w:t>
      </w:r>
      <w:r>
        <w:rPr>
          <w:lang w:val="nl-NL"/>
        </w:rPr>
        <w:t>FME helpt zinvolle samenwerkingen op te starten</w:t>
      </w:r>
      <w:r w:rsidRPr="0096225C">
        <w:rPr>
          <w:lang w:val="nl-NL"/>
        </w:rPr>
        <w:t xml:space="preserve"> en </w:t>
      </w:r>
      <w:r>
        <w:rPr>
          <w:lang w:val="nl-NL"/>
        </w:rPr>
        <w:t xml:space="preserve">voorkomt </w:t>
      </w:r>
      <w:r w:rsidRPr="0096225C">
        <w:rPr>
          <w:lang w:val="nl-NL"/>
        </w:rPr>
        <w:t xml:space="preserve">tegelijkertijd </w:t>
      </w:r>
      <w:r>
        <w:rPr>
          <w:lang w:val="nl-NL"/>
        </w:rPr>
        <w:t xml:space="preserve">dat zorgprofessionals </w:t>
      </w:r>
      <w:r w:rsidRPr="0096225C">
        <w:rPr>
          <w:lang w:val="nl-NL"/>
        </w:rPr>
        <w:t xml:space="preserve">en / </w:t>
      </w:r>
      <w:r>
        <w:rPr>
          <w:lang w:val="nl-NL"/>
        </w:rPr>
        <w:t>of patiënten worden overvraagd. Bij het ontwikkelen van de aanpak raadpleegt FME vertegenwoordigers van Ziekenhuizen,</w:t>
      </w:r>
      <w:r w:rsidRPr="0096225C">
        <w:rPr>
          <w:lang w:val="nl-NL"/>
        </w:rPr>
        <w:t xml:space="preserve"> </w:t>
      </w:r>
      <w:r>
        <w:rPr>
          <w:lang w:val="nl-NL"/>
        </w:rPr>
        <w:t>Beroepsorganisaties en Patië</w:t>
      </w:r>
      <w:r w:rsidRPr="0096225C">
        <w:rPr>
          <w:lang w:val="nl-NL"/>
        </w:rPr>
        <w:t xml:space="preserve">nten. </w:t>
      </w:r>
    </w:p>
    <w:p w:rsidR="00AC5D1D" w:rsidRPr="0096225C" w:rsidRDefault="00575AFA">
      <w:pPr>
        <w:pStyle w:val="Body2"/>
        <w:rPr>
          <w:lang w:val="nl-NL"/>
        </w:rPr>
      </w:pPr>
      <w:r>
        <w:rPr>
          <w:lang w:val="nl-NL"/>
        </w:rPr>
        <w:t>FME maakt</w:t>
      </w:r>
      <w:r w:rsidRPr="0096225C">
        <w:rPr>
          <w:lang w:val="nl-NL"/>
        </w:rPr>
        <w:t xml:space="preserve">, </w:t>
      </w:r>
      <w:r>
        <w:rPr>
          <w:lang w:val="nl-NL"/>
        </w:rPr>
        <w:t>actualiseert</w:t>
      </w:r>
      <w:r w:rsidRPr="0096225C">
        <w:rPr>
          <w:lang w:val="nl-NL"/>
        </w:rPr>
        <w:t xml:space="preserve"> en publiceert</w:t>
      </w:r>
      <w:r>
        <w:rPr>
          <w:lang w:val="nl-NL"/>
        </w:rPr>
        <w:t xml:space="preserve"> een overzicht van uit de samenwerking</w:t>
      </w:r>
      <w:r w:rsidRPr="0096225C">
        <w:rPr>
          <w:lang w:val="nl-NL"/>
        </w:rPr>
        <w:t xml:space="preserve"> </w:t>
      </w:r>
      <w:r>
        <w:rPr>
          <w:lang w:val="nl-NL"/>
        </w:rPr>
        <w:t>voortvloeiende behoeften van gebruikers en de eventueel daarvoor al gerealiseerde</w:t>
      </w:r>
      <w:r w:rsidRPr="0096225C">
        <w:rPr>
          <w:lang w:val="nl-NL"/>
        </w:rPr>
        <w:t xml:space="preserve"> </w:t>
      </w:r>
      <w:r>
        <w:rPr>
          <w:lang w:val="nl-NL"/>
        </w:rPr>
        <w:t xml:space="preserve">producten en diensten. Deze worden gerangschikt volgens het </w:t>
      </w:r>
      <w:r w:rsidRPr="0096225C">
        <w:rPr>
          <w:lang w:val="nl-NL"/>
        </w:rPr>
        <w:t>perioperatieve pati</w:t>
      </w:r>
      <w:r>
        <w:rPr>
          <w:lang w:val="nl-NL"/>
        </w:rPr>
        <w:t>ë</w:t>
      </w:r>
      <w:r w:rsidRPr="0096225C">
        <w:rPr>
          <w:lang w:val="nl-NL"/>
        </w:rPr>
        <w:t xml:space="preserve">ntenpad (“patient journey” - zie verderop). </w:t>
      </w:r>
    </w:p>
    <w:p w:rsidR="00AC5D1D" w:rsidRPr="0096225C" w:rsidRDefault="00575AFA">
      <w:pPr>
        <w:pStyle w:val="Kop2"/>
        <w:rPr>
          <w:lang w:val="nl-NL"/>
        </w:rPr>
      </w:pPr>
      <w:r w:rsidRPr="0096225C">
        <w:rPr>
          <w:rFonts w:ascii="Arial Unicode MS" w:hAnsi="Arial Unicode MS"/>
          <w:b w:val="0"/>
          <w:bCs w:val="0"/>
          <w:lang w:val="nl-NL"/>
        </w:rPr>
        <w:br w:type="page"/>
      </w:r>
    </w:p>
    <w:p w:rsidR="00AC5D1D" w:rsidRPr="0096225C" w:rsidRDefault="00575AFA">
      <w:pPr>
        <w:pStyle w:val="Heading"/>
        <w:rPr>
          <w:lang w:val="nl-NL"/>
        </w:rPr>
      </w:pPr>
      <w:r w:rsidRPr="0096225C">
        <w:rPr>
          <w:lang w:val="nl-NL"/>
        </w:rPr>
        <w:lastRenderedPageBreak/>
        <w:t xml:space="preserve">Inventarisatie </w:t>
      </w:r>
    </w:p>
    <w:p w:rsidR="00AC5D1D" w:rsidRPr="0096225C" w:rsidRDefault="00575AFA">
      <w:pPr>
        <w:pStyle w:val="Kop2"/>
        <w:rPr>
          <w:lang w:val="nl-NL"/>
        </w:rPr>
      </w:pPr>
      <w:r w:rsidRPr="0096225C">
        <w:rPr>
          <w:lang w:val="nl-NL"/>
        </w:rPr>
        <w:t xml:space="preserve">Overwegingen </w:t>
      </w:r>
    </w:p>
    <w:p w:rsidR="00AC5D1D" w:rsidRPr="0096225C" w:rsidRDefault="00575AFA">
      <w:pPr>
        <w:pStyle w:val="Body2"/>
        <w:rPr>
          <w:lang w:val="nl-NL"/>
        </w:rPr>
      </w:pPr>
      <w:r w:rsidRPr="0096225C">
        <w:rPr>
          <w:lang w:val="nl-NL"/>
        </w:rPr>
        <w:t xml:space="preserve">Deelnemende ondernemingen - met name toeleveranciers van ondersteunende hulpmiddelen, producten en diensten - aan de Health Deal persoonsgerichte, perioperatieve netwerkzorg </w:t>
      </w:r>
      <w:r>
        <w:rPr>
          <w:lang w:val="nl-NL"/>
        </w:rPr>
        <w:t xml:space="preserve">overwegen dat: </w:t>
      </w:r>
    </w:p>
    <w:p w:rsidR="00AC5D1D" w:rsidRPr="0096225C" w:rsidRDefault="00575AFA">
      <w:pPr>
        <w:pStyle w:val="Body2"/>
        <w:numPr>
          <w:ilvl w:val="0"/>
          <w:numId w:val="4"/>
        </w:numPr>
        <w:rPr>
          <w:lang w:val="nl-NL"/>
        </w:rPr>
      </w:pPr>
      <w:r w:rsidRPr="0096225C">
        <w:rPr>
          <w:lang w:val="nl-NL"/>
        </w:rPr>
        <w:t>c</w:t>
      </w:r>
      <w:r>
        <w:rPr>
          <w:lang w:val="nl-NL"/>
        </w:rPr>
        <w:t>ontinue ontwikkeling nodig is om oplossingen te</w:t>
      </w:r>
      <w:r w:rsidRPr="0096225C">
        <w:rPr>
          <w:lang w:val="nl-NL"/>
        </w:rPr>
        <w:t xml:space="preserve"> blijven</w:t>
      </w:r>
      <w:r>
        <w:rPr>
          <w:lang w:val="nl-NL"/>
        </w:rPr>
        <w:t xml:space="preserve"> bieden</w:t>
      </w:r>
      <w:r w:rsidRPr="0096225C">
        <w:rPr>
          <w:lang w:val="nl-NL"/>
        </w:rPr>
        <w:t xml:space="preserve">, die de waarde van persoonsgerichte, perioperatieve netwerkzorg voortdurend vergroten; </w:t>
      </w:r>
    </w:p>
    <w:p w:rsidR="00AC5D1D" w:rsidRPr="0096225C" w:rsidRDefault="00575AFA">
      <w:pPr>
        <w:pStyle w:val="Body2"/>
        <w:numPr>
          <w:ilvl w:val="0"/>
          <w:numId w:val="4"/>
        </w:numPr>
        <w:rPr>
          <w:lang w:val="nl-NL"/>
        </w:rPr>
      </w:pPr>
      <w:r>
        <w:rPr>
          <w:lang w:val="nl-NL"/>
        </w:rPr>
        <w:t xml:space="preserve">gezondheid gedefinieerd wordt als het vermogen zich aan te passen en een eigen regie te voeren, in het licht van de fysieke, emotionele en sociale uitdagingen </w:t>
      </w:r>
      <w:r w:rsidRPr="0096225C">
        <w:rPr>
          <w:lang w:val="nl-NL"/>
        </w:rPr>
        <w:t xml:space="preserve">rondom een perioperatief zorgpad; </w:t>
      </w:r>
    </w:p>
    <w:p w:rsidR="00AC5D1D" w:rsidRPr="0096225C" w:rsidRDefault="00575AFA">
      <w:pPr>
        <w:pStyle w:val="Body2"/>
        <w:numPr>
          <w:ilvl w:val="0"/>
          <w:numId w:val="4"/>
        </w:numPr>
        <w:rPr>
          <w:lang w:val="nl-NL"/>
        </w:rPr>
      </w:pPr>
      <w:r w:rsidRPr="0096225C">
        <w:rPr>
          <w:lang w:val="nl-NL"/>
        </w:rPr>
        <w:t xml:space="preserve">een belangrijk doel van perioperatieve zorg het activeren van patiënten is, naast het bevorderen van psychisch en sociaal welbevinden, en dat daarbij voeding, (technische) producten en hulpmiddelen en </w:t>
      </w:r>
      <w:r>
        <w:rPr>
          <w:lang w:val="nl-NL"/>
        </w:rPr>
        <w:t>de gebouwde omgeving</w:t>
      </w:r>
      <w:r w:rsidRPr="0096225C">
        <w:rPr>
          <w:lang w:val="nl-NL"/>
        </w:rPr>
        <w:t xml:space="preserve"> een sterke invloed kunnen hebben; </w:t>
      </w:r>
    </w:p>
    <w:p w:rsidR="00AC5D1D" w:rsidRPr="0096225C" w:rsidRDefault="00575AFA">
      <w:pPr>
        <w:pStyle w:val="Body2"/>
        <w:numPr>
          <w:ilvl w:val="0"/>
          <w:numId w:val="4"/>
        </w:numPr>
        <w:rPr>
          <w:lang w:val="nl-NL"/>
        </w:rPr>
      </w:pPr>
      <w:r>
        <w:rPr>
          <w:lang w:val="nl-NL"/>
        </w:rPr>
        <w:t>de inzet van</w:t>
      </w:r>
      <w:r w:rsidRPr="0096225C">
        <w:rPr>
          <w:lang w:val="nl-NL"/>
        </w:rPr>
        <w:t xml:space="preserve"> voeding en hulpmiddelen,</w:t>
      </w:r>
      <w:r>
        <w:rPr>
          <w:lang w:val="nl-NL"/>
        </w:rPr>
        <w:t xml:space="preserve"> technologie en e</w:t>
      </w:r>
      <w:r w:rsidRPr="0096225C">
        <w:rPr>
          <w:lang w:val="nl-NL"/>
        </w:rPr>
        <w:t xml:space="preserve">-Health </w:t>
      </w:r>
      <w:r>
        <w:rPr>
          <w:lang w:val="nl-NL"/>
        </w:rPr>
        <w:t>oplossingen</w:t>
      </w:r>
      <w:r w:rsidRPr="0096225C">
        <w:rPr>
          <w:lang w:val="nl-NL"/>
        </w:rPr>
        <w:t>,</w:t>
      </w:r>
      <w:r>
        <w:rPr>
          <w:lang w:val="de-DE"/>
        </w:rPr>
        <w:t xml:space="preserve"> die</w:t>
      </w:r>
      <w:r w:rsidRPr="0096225C">
        <w:rPr>
          <w:lang w:val="nl-NL"/>
        </w:rPr>
        <w:t xml:space="preserve"> waarde bieden aan zorgverleners en kwetsbare patiënten</w:t>
      </w:r>
      <w:r>
        <w:rPr>
          <w:lang w:val="nl-NL"/>
        </w:rPr>
        <w:t xml:space="preserve">, tot gevolg heeft dat </w:t>
      </w:r>
      <w:r w:rsidRPr="0096225C">
        <w:rPr>
          <w:lang w:val="nl-NL"/>
        </w:rPr>
        <w:t>patiënten</w:t>
      </w:r>
      <w:r>
        <w:rPr>
          <w:lang w:val="nl-NL"/>
        </w:rPr>
        <w:t xml:space="preserve"> minder afhankelijk van zorg kunnen zijn</w:t>
      </w:r>
      <w:r w:rsidRPr="0096225C">
        <w:rPr>
          <w:lang w:val="nl-NL"/>
        </w:rPr>
        <w:t>, ze beter in staat zijn hun eigen leven te organiseren, en hun</w:t>
      </w:r>
      <w:r>
        <w:rPr>
          <w:lang w:val="nl-NL"/>
        </w:rPr>
        <w:t xml:space="preserve"> kwaliteit van leven verbetert; </w:t>
      </w:r>
    </w:p>
    <w:p w:rsidR="00AC5D1D" w:rsidRPr="0096225C" w:rsidRDefault="00575AFA">
      <w:pPr>
        <w:pStyle w:val="Body2"/>
        <w:numPr>
          <w:ilvl w:val="0"/>
          <w:numId w:val="4"/>
        </w:numPr>
        <w:rPr>
          <w:lang w:val="nl-NL"/>
        </w:rPr>
      </w:pPr>
      <w:r>
        <w:rPr>
          <w:lang w:val="nl-NL"/>
        </w:rPr>
        <w:t xml:space="preserve">gebruikers, professionals in de zorg en zorgorganisaties beperkt kunnen worden in de inzet van technologie </w:t>
      </w:r>
      <w:r w:rsidRPr="0096225C">
        <w:rPr>
          <w:lang w:val="nl-NL"/>
        </w:rPr>
        <w:t xml:space="preserve">en hulpmiddelen </w:t>
      </w:r>
      <w:r>
        <w:rPr>
          <w:lang w:val="nl-NL"/>
        </w:rPr>
        <w:t>door het huidige financieringsstelsel</w:t>
      </w:r>
      <w:r w:rsidRPr="0096225C">
        <w:rPr>
          <w:lang w:val="nl-NL"/>
        </w:rPr>
        <w:t xml:space="preserve">; </w:t>
      </w:r>
    </w:p>
    <w:p w:rsidR="00AC5D1D" w:rsidRPr="0096225C" w:rsidRDefault="00575AFA">
      <w:pPr>
        <w:pStyle w:val="Body2"/>
        <w:numPr>
          <w:ilvl w:val="0"/>
          <w:numId w:val="4"/>
        </w:numPr>
        <w:rPr>
          <w:lang w:val="nl-NL"/>
        </w:rPr>
      </w:pPr>
      <w:r w:rsidRPr="0096225C">
        <w:rPr>
          <w:lang w:val="nl-NL"/>
        </w:rPr>
        <w:t xml:space="preserve">wanneer </w:t>
      </w:r>
      <w:r>
        <w:rPr>
          <w:lang w:val="nl-NL"/>
        </w:rPr>
        <w:t xml:space="preserve">de regie van de </w:t>
      </w:r>
      <w:r w:rsidRPr="0096225C">
        <w:rPr>
          <w:lang w:val="nl-NL"/>
        </w:rPr>
        <w:t>patiënt</w:t>
      </w:r>
      <w:r>
        <w:rPr>
          <w:lang w:val="nl-NL"/>
        </w:rPr>
        <w:t xml:space="preserve"> als uitgangspunt wordt</w:t>
      </w:r>
      <w:r w:rsidRPr="0096225C">
        <w:rPr>
          <w:lang w:val="nl-NL"/>
        </w:rPr>
        <w:t xml:space="preserve"> </w:t>
      </w:r>
      <w:r>
        <w:rPr>
          <w:lang w:val="nl-NL"/>
        </w:rPr>
        <w:t xml:space="preserve">genomen, voor </w:t>
      </w:r>
      <w:r w:rsidRPr="0096225C">
        <w:rPr>
          <w:lang w:val="nl-NL"/>
        </w:rPr>
        <w:t xml:space="preserve">zorgverleners </w:t>
      </w:r>
      <w:r>
        <w:rPr>
          <w:lang w:val="nl-NL"/>
        </w:rPr>
        <w:t>andere competenties nodig zijn, zoals de bereidhei</w:t>
      </w:r>
      <w:r w:rsidRPr="0096225C">
        <w:rPr>
          <w:lang w:val="nl-NL"/>
        </w:rPr>
        <w:t xml:space="preserve">d tot en de mogelijkheden voor samen beslissen, naast uitgebreidere </w:t>
      </w:r>
      <w:r>
        <w:rPr>
          <w:lang w:val="nl-NL"/>
        </w:rPr>
        <w:t>digitale vaardighed</w:t>
      </w:r>
      <w:r w:rsidRPr="0096225C">
        <w:rPr>
          <w:lang w:val="nl-NL"/>
        </w:rPr>
        <w:t xml:space="preserve">en; </w:t>
      </w:r>
    </w:p>
    <w:p w:rsidR="00AC5D1D" w:rsidRPr="0096225C" w:rsidRDefault="00575AFA">
      <w:pPr>
        <w:pStyle w:val="Body2"/>
        <w:numPr>
          <w:ilvl w:val="0"/>
          <w:numId w:val="4"/>
        </w:numPr>
        <w:rPr>
          <w:lang w:val="nl-NL"/>
        </w:rPr>
      </w:pPr>
      <w:r>
        <w:rPr>
          <w:lang w:val="nl-NL"/>
        </w:rPr>
        <w:t>nieuwe mogelijkheden en nieuwe business modellen ontstaan door</w:t>
      </w:r>
      <w:r w:rsidRPr="0096225C">
        <w:rPr>
          <w:lang w:val="nl-NL"/>
        </w:rPr>
        <w:t xml:space="preserve"> vermenging van</w:t>
      </w:r>
      <w:r>
        <w:rPr>
          <w:lang w:val="nl-NL"/>
        </w:rPr>
        <w:t xml:space="preserve"> de domeinen zorg, </w:t>
      </w:r>
      <w:r w:rsidRPr="0096225C">
        <w:rPr>
          <w:lang w:val="nl-NL"/>
        </w:rPr>
        <w:t xml:space="preserve">voeding, </w:t>
      </w:r>
      <w:r>
        <w:rPr>
          <w:lang w:val="nl-NL"/>
        </w:rPr>
        <w:t xml:space="preserve">technologie en de gebouwde en sociale omgeving, </w:t>
      </w:r>
      <w:r w:rsidRPr="0096225C">
        <w:rPr>
          <w:lang w:val="nl-NL"/>
        </w:rPr>
        <w:t xml:space="preserve">naast </w:t>
      </w:r>
      <w:r>
        <w:rPr>
          <w:lang w:val="nl-NL"/>
        </w:rPr>
        <w:t>samenwerking tussen alle relevante betrokkenen en bijzondere aandacht voor het benutten van ervaringen</w:t>
      </w:r>
      <w:r w:rsidRPr="0096225C">
        <w:rPr>
          <w:lang w:val="nl-NL"/>
        </w:rPr>
        <w:t xml:space="preserve"> van patiënten en zorgverleners; </w:t>
      </w:r>
    </w:p>
    <w:p w:rsidR="00AC5D1D" w:rsidRDefault="00575AFA">
      <w:pPr>
        <w:pStyle w:val="Body2"/>
        <w:numPr>
          <w:ilvl w:val="0"/>
          <w:numId w:val="4"/>
        </w:numPr>
      </w:pPr>
      <w:r>
        <w:rPr>
          <w:lang w:val="nl-NL"/>
        </w:rPr>
        <w:t xml:space="preserve">de Health Deal gericht is op het realiseren van doelmatige innovaties dankzij samenwerking met </w:t>
      </w:r>
      <w:r>
        <w:t>kwetsbare patiënten en hun zorgverleners</w:t>
      </w:r>
      <w:r>
        <w:rPr>
          <w:lang w:val="nl-NL"/>
        </w:rPr>
        <w:t xml:space="preserve">. De brede inzet van deze vernieuwing leidt tot zinnige, zuinige en excellente zorg voor deze </w:t>
      </w:r>
      <w:r>
        <w:t xml:space="preserve">doelgroep en </w:t>
      </w:r>
      <w:r>
        <w:rPr>
          <w:lang w:val="nl-NL"/>
        </w:rPr>
        <w:t>beheerst daardoor ook</w:t>
      </w:r>
      <w:r>
        <w:t xml:space="preserve"> de kosten van perioperatieve zorgpaden; </w:t>
      </w:r>
    </w:p>
    <w:p w:rsidR="00AC5D1D" w:rsidRDefault="00575AFA">
      <w:pPr>
        <w:pStyle w:val="Body2"/>
        <w:numPr>
          <w:ilvl w:val="0"/>
          <w:numId w:val="4"/>
        </w:numPr>
      </w:pPr>
      <w:r>
        <w:t xml:space="preserve">samenwerking aan innovatie niet de hoofdtaak is van zorgverleners en mogelijk ook patiënten belast en daarom structuur en organisatie verlangt </w:t>
      </w:r>
    </w:p>
    <w:p w:rsidR="00AC5D1D" w:rsidRDefault="00575AFA">
      <w:pPr>
        <w:pStyle w:val="Body2"/>
        <w:numPr>
          <w:ilvl w:val="0"/>
          <w:numId w:val="4"/>
        </w:numPr>
      </w:pPr>
      <w:r>
        <w:t>de Health Deal kan</w:t>
      </w:r>
      <w:r>
        <w:rPr>
          <w:lang w:val="nl-NL"/>
        </w:rPr>
        <w:t xml:space="preserve"> bijdragen aan het versnellen van zorginnovaties, </w:t>
      </w:r>
      <w:r>
        <w:t xml:space="preserve">het </w:t>
      </w:r>
      <w:r>
        <w:rPr>
          <w:lang w:val="nl-NL"/>
        </w:rPr>
        <w:t>wegnemen van belemmeringen van implementaties, het gezamenlijke ontwikkelen van zogenaamde best-practices, het co</w:t>
      </w:r>
      <w:r>
        <w:rPr>
          <w:lang w:val="sv-SE"/>
        </w:rPr>
        <w:t>ö</w:t>
      </w:r>
      <w:r>
        <w:rPr>
          <w:lang w:val="nl-NL"/>
        </w:rPr>
        <w:t>rdineren van (toegepast) wetenschappelijk onderzoek</w:t>
      </w:r>
      <w:r>
        <w:t xml:space="preserve"> en </w:t>
      </w:r>
      <w:r>
        <w:rPr>
          <w:lang w:val="nl-NL"/>
        </w:rPr>
        <w:t>het gezamenlijk ontwikkelen van informatie-uitwisseling</w:t>
      </w:r>
      <w:r>
        <w:t xml:space="preserve">. </w:t>
      </w:r>
    </w:p>
    <w:p w:rsidR="00AC5D1D" w:rsidRDefault="00575AFA">
      <w:pPr>
        <w:pStyle w:val="Kop2"/>
      </w:pPr>
      <w:r>
        <w:t xml:space="preserve">Doelen </w:t>
      </w:r>
    </w:p>
    <w:p w:rsidR="00AC5D1D" w:rsidRDefault="00575AFA">
      <w:pPr>
        <w:pStyle w:val="Body2"/>
      </w:pPr>
      <w:r>
        <w:t xml:space="preserve">Met hun bijdrage aan de Health Deal persoonsgerichte, perioperatieve netwerkzorg hebben ondernemingen de bedoeling: </w:t>
      </w:r>
    </w:p>
    <w:p w:rsidR="00AC5D1D" w:rsidRDefault="00575AFA">
      <w:pPr>
        <w:pStyle w:val="Body2"/>
        <w:numPr>
          <w:ilvl w:val="0"/>
          <w:numId w:val="5"/>
        </w:numPr>
      </w:pPr>
      <w:r>
        <w:rPr>
          <w:lang w:val="nl-NL"/>
        </w:rPr>
        <w:t xml:space="preserve">waar </w:t>
      </w:r>
      <w:r>
        <w:t xml:space="preserve">passend en </w:t>
      </w:r>
      <w:r>
        <w:rPr>
          <w:lang w:val="nl-NL"/>
        </w:rPr>
        <w:t>gewenst bij</w:t>
      </w:r>
      <w:r>
        <w:t xml:space="preserve"> te </w:t>
      </w:r>
      <w:r>
        <w:rPr>
          <w:lang w:val="nl-NL"/>
        </w:rPr>
        <w:t>staan in projecten en</w:t>
      </w:r>
      <w:r>
        <w:t xml:space="preserve"> </w:t>
      </w:r>
      <w:r>
        <w:rPr>
          <w:lang w:val="nl-NL"/>
        </w:rPr>
        <w:t xml:space="preserve">onderzoeken die door </w:t>
      </w:r>
      <w:r>
        <w:t>zorgverleners en patiënten</w:t>
      </w:r>
      <w:r>
        <w:rPr>
          <w:lang w:val="de-DE"/>
        </w:rPr>
        <w:t xml:space="preserve"> ge</w:t>
      </w:r>
      <w:r>
        <w:rPr>
          <w:lang w:val="nl-NL"/>
        </w:rPr>
        <w:t>ïnitieerd worden</w:t>
      </w:r>
      <w:r>
        <w:t xml:space="preserve"> ter verbetering van persoonsgerichte, perioperatieve netwerkzorg; </w:t>
      </w:r>
    </w:p>
    <w:p w:rsidR="00AC5D1D" w:rsidRDefault="00575AFA">
      <w:pPr>
        <w:pStyle w:val="Body2"/>
        <w:numPr>
          <w:ilvl w:val="0"/>
          <w:numId w:val="5"/>
        </w:numPr>
      </w:pPr>
      <w:r>
        <w:rPr>
          <w:lang w:val="nl-NL"/>
        </w:rPr>
        <w:t xml:space="preserve">hun eigen producten en diensten </w:t>
      </w:r>
      <w:r>
        <w:t xml:space="preserve">te </w:t>
      </w:r>
      <w:r>
        <w:rPr>
          <w:lang w:val="da-DK"/>
        </w:rPr>
        <w:t>valideren</w:t>
      </w:r>
      <w:r>
        <w:t xml:space="preserve"> voor verbetering van perioperatieve zorg, in nauwe </w:t>
      </w:r>
      <w:r>
        <w:rPr>
          <w:lang w:val="nl-NL"/>
        </w:rPr>
        <w:t>samenwerking met</w:t>
      </w:r>
      <w:r>
        <w:t xml:space="preserve"> patiënten en zorgverleners; </w:t>
      </w:r>
    </w:p>
    <w:p w:rsidR="00AC5D1D" w:rsidRDefault="00575AFA">
      <w:pPr>
        <w:pStyle w:val="Body2"/>
        <w:numPr>
          <w:ilvl w:val="0"/>
          <w:numId w:val="5"/>
        </w:numPr>
      </w:pPr>
      <w:r>
        <w:rPr>
          <w:lang w:val="nl-NL"/>
        </w:rPr>
        <w:lastRenderedPageBreak/>
        <w:t xml:space="preserve">nieuwe hulpmiddelen </w:t>
      </w:r>
      <w:r>
        <w:t xml:space="preserve">te </w:t>
      </w:r>
      <w:r>
        <w:rPr>
          <w:lang w:val="nl-NL"/>
        </w:rPr>
        <w:t xml:space="preserve">ontwikkelen voor </w:t>
      </w:r>
      <w:r>
        <w:t xml:space="preserve">perioperatieve </w:t>
      </w:r>
      <w:r>
        <w:rPr>
          <w:lang w:val="nl-NL"/>
        </w:rPr>
        <w:t>zorg</w:t>
      </w:r>
      <w:r>
        <w:t xml:space="preserve">, op gebieden als voeding, fysiotherapeutische ondersteuning, </w:t>
      </w:r>
      <w:r>
        <w:rPr>
          <w:lang w:val="nl-NL"/>
        </w:rPr>
        <w:t>gebouwde omgeving</w:t>
      </w:r>
      <w:r>
        <w:t xml:space="preserve"> en e-Health - waaronder informatie-uitwisseling, data analyse en beslisondersteuning; </w:t>
      </w:r>
    </w:p>
    <w:p w:rsidR="00AC5D1D" w:rsidRDefault="00575AFA">
      <w:pPr>
        <w:pStyle w:val="Body2"/>
        <w:numPr>
          <w:ilvl w:val="0"/>
          <w:numId w:val="5"/>
        </w:numPr>
      </w:pPr>
      <w:r>
        <w:t xml:space="preserve">kwetsbare </w:t>
      </w:r>
      <w:r>
        <w:rPr>
          <w:lang w:val="nl-NL"/>
        </w:rPr>
        <w:t>(ex)</w:t>
      </w:r>
      <w:r>
        <w:t xml:space="preserve">patiënten en hun </w:t>
      </w:r>
      <w:r>
        <w:rPr>
          <w:lang w:val="nl-NL"/>
        </w:rPr>
        <w:t>zorgverleners</w:t>
      </w:r>
      <w:r>
        <w:t xml:space="preserve"> te</w:t>
      </w:r>
      <w:r>
        <w:rPr>
          <w:lang w:val="nl-NL"/>
        </w:rPr>
        <w:t xml:space="preserve"> betrekken </w:t>
      </w:r>
      <w:r>
        <w:t xml:space="preserve">bij het ontwikkelen van die innovaties; </w:t>
      </w:r>
    </w:p>
    <w:p w:rsidR="00AC5D1D" w:rsidRDefault="00575AFA">
      <w:pPr>
        <w:pStyle w:val="Body2"/>
        <w:numPr>
          <w:ilvl w:val="0"/>
          <w:numId w:val="5"/>
        </w:numPr>
      </w:pPr>
      <w:r>
        <w:t>bij te dragen aan</w:t>
      </w:r>
      <w:r>
        <w:rPr>
          <w:lang w:val="nl-NL"/>
        </w:rPr>
        <w:t xml:space="preserve"> opleidingsinstrumenten voor </w:t>
      </w:r>
      <w:r>
        <w:t xml:space="preserve">patiënten en </w:t>
      </w:r>
      <w:r>
        <w:rPr>
          <w:lang w:val="nl-NL"/>
        </w:rPr>
        <w:t>zorgverlener</w:t>
      </w:r>
      <w:r>
        <w:t xml:space="preserve">s; </w:t>
      </w:r>
    </w:p>
    <w:p w:rsidR="00AC5D1D" w:rsidRDefault="00575AFA">
      <w:pPr>
        <w:pStyle w:val="Body2"/>
        <w:numPr>
          <w:ilvl w:val="0"/>
          <w:numId w:val="5"/>
        </w:numPr>
      </w:pPr>
      <w:r>
        <w:rPr>
          <w:lang w:val="nl-NL"/>
        </w:rPr>
        <w:t>de ontwikkelde producten en diensten inzichtelijk</w:t>
      </w:r>
      <w:r>
        <w:t xml:space="preserve"> te</w:t>
      </w:r>
      <w:r>
        <w:rPr>
          <w:lang w:val="nl-NL"/>
        </w:rPr>
        <w:t xml:space="preserve"> maken in een hulpmiddelen</w:t>
      </w:r>
      <w:r>
        <w:t>-</w:t>
      </w:r>
      <w:r>
        <w:rPr>
          <w:lang w:val="nl-NL"/>
        </w:rPr>
        <w:t>register</w:t>
      </w:r>
      <w:r>
        <w:t xml:space="preserve">; </w:t>
      </w:r>
    </w:p>
    <w:p w:rsidR="00AC5D1D" w:rsidRDefault="00575AFA">
      <w:pPr>
        <w:pStyle w:val="Body2"/>
        <w:numPr>
          <w:ilvl w:val="0"/>
          <w:numId w:val="5"/>
        </w:numPr>
      </w:pPr>
      <w:r>
        <w:t xml:space="preserve">naar draagkracht een bijdrage te leveren aan de programmatische kosten van de Health Deal. </w:t>
      </w:r>
    </w:p>
    <w:p w:rsidR="00AC5D1D" w:rsidRDefault="00575AFA">
      <w:pPr>
        <w:pStyle w:val="Kop2"/>
      </w:pPr>
      <w:r>
        <w:t xml:space="preserve">“Patient journey” </w:t>
      </w:r>
    </w:p>
    <w:p w:rsidR="00AC5D1D" w:rsidRPr="0096225C" w:rsidRDefault="00575AFA">
      <w:pPr>
        <w:pStyle w:val="Body2"/>
        <w:rPr>
          <w:lang w:val="nl-NL"/>
        </w:rPr>
      </w:pPr>
      <w:r w:rsidRPr="0096225C">
        <w:rPr>
          <w:lang w:val="nl-NL"/>
        </w:rPr>
        <w:t xml:space="preserve">De specifieke bijdragen van deelnemende </w:t>
      </w:r>
      <w:r>
        <w:rPr>
          <w:lang w:val="nl-NL"/>
        </w:rPr>
        <w:t>ondernemingen</w:t>
      </w:r>
      <w:r w:rsidRPr="0096225C">
        <w:rPr>
          <w:lang w:val="nl-NL"/>
        </w:rPr>
        <w:t xml:space="preserve"> worden uitgewerkt in de vorm van een “patient journey” overzicht, waarin producten en diensten worden gekoppeld aan de relevante stadia van het perioperatieve zorgpad. In onderstaande figuur is een typisch persoonsgericht, </w:t>
      </w:r>
      <w:r>
        <w:rPr>
          <w:lang w:val="it-IT"/>
        </w:rPr>
        <w:t>perioperatie</w:t>
      </w:r>
      <w:r w:rsidRPr="0096225C">
        <w:rPr>
          <w:lang w:val="nl-NL"/>
        </w:rPr>
        <w:t>f</w:t>
      </w:r>
      <w:r>
        <w:rPr>
          <w:lang w:val="nl-NL"/>
        </w:rPr>
        <w:t xml:space="preserve"> zorgpad weergegeven. De </w:t>
      </w:r>
      <w:r w:rsidRPr="0096225C">
        <w:rPr>
          <w:lang w:val="nl-NL"/>
        </w:rPr>
        <w:t>processtappen, in volgorde</w:t>
      </w:r>
      <w:r>
        <w:rPr>
          <w:lang w:val="nl-NL"/>
        </w:rPr>
        <w:t xml:space="preserve"> van 1 </w:t>
      </w:r>
      <w:r w:rsidRPr="0096225C">
        <w:rPr>
          <w:lang w:val="nl-NL"/>
        </w:rPr>
        <w:t>tot en met 20, beginnen bij “gezondheidsproblemen” (1) en eindigen na de “nacontrole door de specialist” (19) bij het einddoel (20): “patiënt snel en naar een hoger functioneel niveau hersteld”.</w:t>
      </w:r>
      <w:r w:rsidR="0096225C" w:rsidRPr="0096225C">
        <w:rPr>
          <w:noProof/>
          <w:lang w:val="nl-NL"/>
        </w:rPr>
        <w:t xml:space="preserve"> </w:t>
      </w:r>
      <w:r w:rsidR="0096225C" w:rsidRPr="0096225C">
        <w:rPr>
          <w:noProof/>
          <w:lang w:val="nl-NL" w:eastAsia="nl-NL"/>
        </w:rPr>
        <w:drawing>
          <wp:inline distT="0" distB="0" distL="0" distR="0" wp14:anchorId="2B80C075" wp14:editId="0C5DECF1">
            <wp:extent cx="6032500" cy="1816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32500" cy="1816100"/>
                    </a:xfrm>
                    <a:prstGeom prst="rect">
                      <a:avLst/>
                    </a:prstGeom>
                  </pic:spPr>
                </pic:pic>
              </a:graphicData>
            </a:graphic>
          </wp:inline>
        </w:drawing>
      </w:r>
      <w:r w:rsidRPr="0096225C">
        <w:rPr>
          <w:lang w:val="nl-NL"/>
        </w:rPr>
        <w:t xml:space="preserve"> </w:t>
      </w:r>
    </w:p>
    <w:p w:rsidR="00AC5D1D" w:rsidRDefault="00575AFA">
      <w:pPr>
        <w:pStyle w:val="Body2"/>
      </w:pPr>
      <w:r>
        <w:rPr>
          <w:lang w:val="it-IT"/>
        </w:rPr>
        <w:t xml:space="preserve">Per </w:t>
      </w:r>
      <w:r>
        <w:t>processtap beschrijft</w:t>
      </w:r>
      <w:r>
        <w:rPr>
          <w:lang w:val="nl-NL"/>
        </w:rPr>
        <w:t xml:space="preserve"> het vervolg</w:t>
      </w:r>
      <w:r>
        <w:t xml:space="preserve"> een niet-uitputtende lijst van</w:t>
      </w:r>
      <w:r>
        <w:rPr>
          <w:lang w:val="nl-NL"/>
        </w:rPr>
        <w:t xml:space="preserve"> bijdragen die ondernemingen </w:t>
      </w:r>
      <w:r>
        <w:t>mogelijk</w:t>
      </w:r>
      <w:r>
        <w:rPr>
          <w:lang w:val="nl-NL"/>
        </w:rPr>
        <w:t xml:space="preserve"> kunnen leveren </w:t>
      </w:r>
      <w:r>
        <w:t>aan</w:t>
      </w:r>
      <w:r>
        <w:rPr>
          <w:lang w:val="nl-NL"/>
        </w:rPr>
        <w:t xml:space="preserve"> het</w:t>
      </w:r>
      <w:r>
        <w:t xml:space="preserve"> perioperatieve</w:t>
      </w:r>
      <w:r>
        <w:rPr>
          <w:lang w:val="nl-NL"/>
        </w:rPr>
        <w:t xml:space="preserve"> zorgpad.</w:t>
      </w:r>
      <w:r>
        <w:t xml:space="preserve"> Daarnaast is het mogelijk expertise aan te bieden voor ondersteuning va</w:t>
      </w:r>
      <w:r>
        <w:rPr>
          <w:lang w:val="nl-NL"/>
        </w:rPr>
        <w:t>n het algehele proces</w:t>
      </w:r>
      <w:r>
        <w:t xml:space="preserve"> (bijvoorbeeld in de vorm van infrastructuur, organisatie of ICT). </w:t>
      </w:r>
    </w:p>
    <w:p w:rsidR="00AC5D1D" w:rsidRDefault="00575AFA">
      <w:pPr>
        <w:pStyle w:val="Body2"/>
        <w:numPr>
          <w:ilvl w:val="0"/>
          <w:numId w:val="6"/>
        </w:numPr>
      </w:pPr>
      <w:r>
        <w:rPr>
          <w:u w:val="single"/>
        </w:rPr>
        <w:t>Gezondheidsprobleem</w:t>
      </w:r>
      <w:r>
        <w:t xml:space="preserve"> - gedacht kan worden aan het ondersteunen van voedings- en fysiotherapie, naast interventies op het gebied van lichamelijke en mentale fitheid </w:t>
      </w:r>
    </w:p>
    <w:p w:rsidR="00AC5D1D" w:rsidRDefault="00575AFA">
      <w:pPr>
        <w:pStyle w:val="Body2"/>
        <w:numPr>
          <w:ilvl w:val="0"/>
          <w:numId w:val="4"/>
        </w:numPr>
      </w:pPr>
      <w:r>
        <w:rPr>
          <w:u w:val="single"/>
          <w:lang w:val="nl-NL"/>
        </w:rPr>
        <w:t>Huisarts consult en verwijzing</w:t>
      </w:r>
      <w:r>
        <w:t xml:space="preserve"> - bijvoorbeeld het verzamelen en beschikbaar stellen van informatie over het te volgen zorgpad, de functionele anamnese en monitoring </w:t>
      </w:r>
    </w:p>
    <w:p w:rsidR="00AC5D1D" w:rsidRDefault="00575AFA">
      <w:pPr>
        <w:pStyle w:val="Body2"/>
        <w:numPr>
          <w:ilvl w:val="0"/>
          <w:numId w:val="4"/>
        </w:numPr>
      </w:pPr>
      <w:r>
        <w:rPr>
          <w:u w:val="single"/>
          <w:lang w:val="nl-NL"/>
        </w:rPr>
        <w:t>Specialist consult, diagnose en behandelvoorstel</w:t>
      </w:r>
      <w:r>
        <w:t xml:space="preserve"> - instrumenten om samen beslissen te faciliteren, onder meer </w:t>
      </w:r>
      <w:r>
        <w:rPr>
          <w:lang w:val="nl-NL"/>
        </w:rPr>
        <w:t xml:space="preserve">het vastleggen van persoonlijke doelen </w:t>
      </w:r>
    </w:p>
    <w:p w:rsidR="00AC5D1D" w:rsidRDefault="00575AFA">
      <w:pPr>
        <w:pStyle w:val="Body2"/>
        <w:numPr>
          <w:ilvl w:val="0"/>
          <w:numId w:val="4"/>
        </w:numPr>
      </w:pPr>
      <w:r>
        <w:rPr>
          <w:u w:val="single"/>
        </w:rPr>
        <w:t>S</w:t>
      </w:r>
      <w:r>
        <w:rPr>
          <w:u w:val="single"/>
          <w:lang w:val="nl-NL"/>
        </w:rPr>
        <w:t>creening op kwetsbaarheden</w:t>
      </w:r>
      <w:r>
        <w:t xml:space="preserve"> - samen beslissen, functionele metingen en risico-stratificatie, aansluiting op PGO (persoonlijke gezondheidsomgeving) </w:t>
      </w:r>
    </w:p>
    <w:p w:rsidR="00AC5D1D" w:rsidRDefault="00575AFA">
      <w:pPr>
        <w:pStyle w:val="Body2"/>
        <w:numPr>
          <w:ilvl w:val="0"/>
          <w:numId w:val="4"/>
        </w:numPr>
      </w:pPr>
      <w:r>
        <w:rPr>
          <w:u w:val="single"/>
        </w:rPr>
        <w:t>Vaststellen multi-modaal prevalidatie-plan</w:t>
      </w:r>
      <w:r>
        <w:t xml:space="preserve"> - v</w:t>
      </w:r>
      <w:r>
        <w:rPr>
          <w:lang w:val="nl-NL"/>
        </w:rPr>
        <w:t xml:space="preserve">oorlichting </w:t>
      </w:r>
      <w:r>
        <w:t>over zorgpad</w:t>
      </w:r>
      <w:r>
        <w:rPr>
          <w:lang w:val="es-ES_tradnl"/>
        </w:rPr>
        <w:t xml:space="preserve"> en prevalidatie</w:t>
      </w:r>
      <w:r>
        <w:t>, informatie delen via PGO. R</w:t>
      </w:r>
      <w:r>
        <w:rPr>
          <w:lang w:val="nl-NL"/>
        </w:rPr>
        <w:t>isicostratificatie en inschatting opbrengsten en kosten van vervolgtraject</w:t>
      </w:r>
      <w:r>
        <w:t xml:space="preserve"> </w:t>
      </w:r>
    </w:p>
    <w:p w:rsidR="00AC5D1D" w:rsidRDefault="00575AFA">
      <w:pPr>
        <w:pStyle w:val="Body2"/>
        <w:numPr>
          <w:ilvl w:val="0"/>
          <w:numId w:val="4"/>
        </w:numPr>
      </w:pPr>
      <w:r>
        <w:rPr>
          <w:u w:val="single"/>
          <w:lang w:val="nl-NL"/>
        </w:rPr>
        <w:lastRenderedPageBreak/>
        <w:t>Prevalidatie niet geïndiceerd</w:t>
      </w:r>
      <w:r>
        <w:t xml:space="preserve"> - tips en begeleiding voor patiënten om hun conditie op peil te houden, voorafgaand aan de geplande operatie </w:t>
      </w:r>
    </w:p>
    <w:p w:rsidR="00AC5D1D" w:rsidRDefault="00575AFA">
      <w:pPr>
        <w:pStyle w:val="Body2"/>
        <w:numPr>
          <w:ilvl w:val="0"/>
          <w:numId w:val="4"/>
        </w:numPr>
      </w:pPr>
      <w:r>
        <w:rPr>
          <w:u w:val="single"/>
        </w:rPr>
        <w:t>Kiezen van gekwalificeerde begeleiders (in eerste- dan wel tweede lijn)</w:t>
      </w:r>
      <w:r>
        <w:t xml:space="preserve"> - voorlichting, samen beslissen</w:t>
      </w:r>
      <w:r>
        <w:rPr>
          <w:lang w:val="nl-NL"/>
        </w:rPr>
        <w:t>, doelen opstellen, multidisciplinaire methoden vastleggen en coördinatie tussen therapeuten voorbereiden</w:t>
      </w:r>
      <w:r>
        <w:t xml:space="preserve"> </w:t>
      </w:r>
    </w:p>
    <w:p w:rsidR="00AC5D1D" w:rsidRDefault="00575AFA">
      <w:pPr>
        <w:pStyle w:val="Body2"/>
        <w:numPr>
          <w:ilvl w:val="0"/>
          <w:numId w:val="4"/>
        </w:numPr>
      </w:pPr>
      <w:r>
        <w:rPr>
          <w:u w:val="single"/>
          <w:lang w:val="nl-NL"/>
        </w:rPr>
        <w:t>Prevalidatie onder begeleiding</w:t>
      </w:r>
      <w:r>
        <w:rPr>
          <w:u w:val="single"/>
        </w:rPr>
        <w:t xml:space="preserve"> (in eerste- dan wel tweede lijn)</w:t>
      </w:r>
      <w:r>
        <w:t xml:space="preserve"> - inrichting van (p)revalidatie-ruimten, (p)revalidatie-middelen ter ondersteuning, zoals trainings</w:t>
      </w:r>
      <w:r>
        <w:rPr>
          <w:lang w:val="nl-NL"/>
        </w:rPr>
        <w:t>apparatuur</w:t>
      </w:r>
      <w:r>
        <w:t xml:space="preserve"> en voeding,</w:t>
      </w:r>
      <w:r>
        <w:rPr>
          <w:lang w:val="nl-NL"/>
        </w:rPr>
        <w:t xml:space="preserve"> waarmee patië</w:t>
      </w:r>
      <w:r>
        <w:rPr>
          <w:lang w:val="de-DE"/>
        </w:rPr>
        <w:t xml:space="preserve">nten </w:t>
      </w:r>
      <w:r>
        <w:t xml:space="preserve">onder begeleiding hun conditie en functioneren kunnen </w:t>
      </w:r>
      <w:r>
        <w:rPr>
          <w:lang w:val="nl-NL"/>
        </w:rPr>
        <w:t>verbeteren</w:t>
      </w:r>
      <w:r>
        <w:t xml:space="preserve">. </w:t>
      </w:r>
      <w:r>
        <w:rPr>
          <w:lang w:val="nl-NL"/>
        </w:rPr>
        <w:t xml:space="preserve">De </w:t>
      </w:r>
      <w:r>
        <w:t xml:space="preserve">middelen kunnen gedurende zowel prevalidatie (preoperatief) als revalidatie (postoperatief) worden </w:t>
      </w:r>
      <w:r>
        <w:rPr>
          <w:lang w:val="nl-NL"/>
        </w:rPr>
        <w:t>gebruikt</w:t>
      </w:r>
      <w:r>
        <w:t xml:space="preserve"> </w:t>
      </w:r>
    </w:p>
    <w:p w:rsidR="00AC5D1D" w:rsidRDefault="00575AFA">
      <w:pPr>
        <w:pStyle w:val="Body2"/>
        <w:numPr>
          <w:ilvl w:val="0"/>
          <w:numId w:val="4"/>
        </w:numPr>
      </w:pPr>
      <w:r>
        <w:rPr>
          <w:u w:val="single"/>
        </w:rPr>
        <w:t>Z</w:t>
      </w:r>
      <w:r>
        <w:rPr>
          <w:u w:val="single"/>
          <w:lang w:val="nl-NL"/>
        </w:rPr>
        <w:t>elfstandig</w:t>
      </w:r>
      <w:r>
        <w:rPr>
          <w:u w:val="single"/>
        </w:rPr>
        <w:t>e, multi-modale prevalidatie</w:t>
      </w:r>
      <w:r>
        <w:t xml:space="preserve"> - zoals 8. maar dan zodat pati</w:t>
      </w:r>
      <w:r>
        <w:rPr>
          <w:lang w:val="nl-NL"/>
        </w:rPr>
        <w:t>ë</w:t>
      </w:r>
      <w:r>
        <w:rPr>
          <w:lang w:val="de-DE"/>
        </w:rPr>
        <w:t xml:space="preserve">nten </w:t>
      </w:r>
      <w:r>
        <w:t xml:space="preserve">zelfstandig aan hun conditie en functioneren kunnen werken, met een tracking systeem zodat voortgang op afstand </w:t>
      </w:r>
      <w:r>
        <w:rPr>
          <w:lang w:val="nl-NL"/>
        </w:rPr>
        <w:t xml:space="preserve">bekeken </w:t>
      </w:r>
      <w:r>
        <w:t xml:space="preserve">kan </w:t>
      </w:r>
      <w:r>
        <w:rPr>
          <w:lang w:val="nl-NL"/>
        </w:rPr>
        <w:t>worden</w:t>
      </w:r>
      <w:r>
        <w:t>. Eventueel ook: suggesties voor het aanpassen van de</w:t>
      </w:r>
      <w:r>
        <w:rPr>
          <w:lang w:val="nl-NL"/>
        </w:rPr>
        <w:t xml:space="preserve"> thuissituatie </w:t>
      </w:r>
      <w:r>
        <w:t>om (p)revalidatie thuis</w:t>
      </w:r>
      <w:r>
        <w:rPr>
          <w:lang w:val="nl-NL"/>
        </w:rPr>
        <w:t xml:space="preserve"> makkelijker te</w:t>
      </w:r>
      <w:r>
        <w:t xml:space="preserve"> maken </w:t>
      </w:r>
    </w:p>
    <w:p w:rsidR="00AC5D1D" w:rsidRDefault="00575AFA">
      <w:pPr>
        <w:pStyle w:val="Body2"/>
        <w:numPr>
          <w:ilvl w:val="0"/>
          <w:numId w:val="4"/>
        </w:numPr>
      </w:pPr>
      <w:r>
        <w:rPr>
          <w:u w:val="single"/>
          <w:lang w:val="nl-NL"/>
        </w:rPr>
        <w:t>Bepalen van conditietoename</w:t>
      </w:r>
      <w:r>
        <w:rPr>
          <w:u w:val="single"/>
        </w:rPr>
        <w:t xml:space="preserve"> (in eerste- dan wel tweede lijn)</w:t>
      </w:r>
      <w:r>
        <w:t xml:space="preserve"> - monitoring en tracking systemen </w:t>
      </w:r>
    </w:p>
    <w:p w:rsidR="00AC5D1D" w:rsidRDefault="00575AFA">
      <w:pPr>
        <w:pStyle w:val="Body2"/>
        <w:numPr>
          <w:ilvl w:val="0"/>
          <w:numId w:val="4"/>
        </w:numPr>
      </w:pPr>
      <w:r>
        <w:rPr>
          <w:u w:val="single"/>
          <w:lang w:val="nl-NL"/>
        </w:rPr>
        <w:t>Onvoldoende voor operatie</w:t>
      </w:r>
      <w:r>
        <w:t xml:space="preserve"> - voortzetten van </w:t>
      </w:r>
      <w:r>
        <w:rPr>
          <w:lang w:val="it-IT"/>
        </w:rPr>
        <w:t>prevalidatie</w:t>
      </w:r>
      <w:r>
        <w:t xml:space="preserve"> </w:t>
      </w:r>
    </w:p>
    <w:p w:rsidR="00AC5D1D" w:rsidRDefault="00575AFA">
      <w:pPr>
        <w:pStyle w:val="Body2"/>
        <w:numPr>
          <w:ilvl w:val="0"/>
          <w:numId w:val="4"/>
        </w:numPr>
      </w:pPr>
      <w:r>
        <w:rPr>
          <w:u w:val="single"/>
          <w:lang w:val="nl-NL"/>
        </w:rPr>
        <w:t>Voldoende voor operatie</w:t>
      </w:r>
      <w:r>
        <w:t xml:space="preserve"> -  </w:t>
      </w:r>
      <w:r>
        <w:rPr>
          <w:lang w:val="nl-NL"/>
        </w:rPr>
        <w:t xml:space="preserve">uitkomsten van prevalidatie vastleggen, informatie </w:t>
      </w:r>
      <w:r>
        <w:t>betreffende</w:t>
      </w:r>
      <w:r>
        <w:rPr>
          <w:lang w:val="nl-NL"/>
        </w:rPr>
        <w:t xml:space="preserve"> de operatie delen met patiënt en zorgverleners</w:t>
      </w:r>
      <w:r>
        <w:t>, waaronder</w:t>
      </w:r>
      <w:r>
        <w:rPr>
          <w:lang w:val="nl-NL"/>
        </w:rPr>
        <w:t xml:space="preserve"> anesthesie en chirurgie.</w:t>
      </w:r>
      <w:r>
        <w:t xml:space="preserve"> R</w:t>
      </w:r>
      <w:r>
        <w:rPr>
          <w:lang w:val="nl-NL"/>
        </w:rPr>
        <w:t xml:space="preserve">isicostratificatie en inschatting opbrengsten en kosten van </w:t>
      </w:r>
      <w:r>
        <w:t xml:space="preserve">vervolgtraject </w:t>
      </w:r>
    </w:p>
    <w:p w:rsidR="00AC5D1D" w:rsidRDefault="00575AFA">
      <w:pPr>
        <w:pStyle w:val="Body2"/>
        <w:numPr>
          <w:ilvl w:val="0"/>
          <w:numId w:val="4"/>
        </w:numPr>
      </w:pPr>
      <w:r>
        <w:rPr>
          <w:u w:val="single"/>
          <w:lang w:val="nl-NL"/>
        </w:rPr>
        <w:t>Operatie</w:t>
      </w:r>
      <w:r>
        <w:t xml:space="preserve"> - </w:t>
      </w:r>
      <w:r>
        <w:rPr>
          <w:lang w:val="nl-NL"/>
        </w:rPr>
        <w:t>oplossingen voor minimaal-invasieve chirurgie</w:t>
      </w:r>
      <w:r>
        <w:t>. Z</w:t>
      </w:r>
      <w:r>
        <w:rPr>
          <w:lang w:val="nl-NL"/>
        </w:rPr>
        <w:t>orglogistieke consequenties vroegtijdig in kaart brengen, capaciteitsmanagement op basis van statistiek en individuele patië</w:t>
      </w:r>
      <w:r>
        <w:t xml:space="preserve">ntenkenmerken </w:t>
      </w:r>
    </w:p>
    <w:p w:rsidR="00AC5D1D" w:rsidRDefault="00575AFA">
      <w:pPr>
        <w:pStyle w:val="Body2"/>
        <w:numPr>
          <w:ilvl w:val="0"/>
          <w:numId w:val="4"/>
        </w:numPr>
      </w:pPr>
      <w:r>
        <w:rPr>
          <w:u w:val="single"/>
          <w:lang w:val="nl-NL"/>
        </w:rPr>
        <w:t>Verpleging en vroege revalidatie</w:t>
      </w:r>
      <w:r>
        <w:t xml:space="preserve"> - interactieve manieren </w:t>
      </w:r>
      <w:r>
        <w:rPr>
          <w:lang w:val="nl-NL"/>
        </w:rPr>
        <w:t>om de patiënt actief te laten revalideren</w:t>
      </w:r>
      <w:r>
        <w:t xml:space="preserve">, </w:t>
      </w:r>
      <w:r>
        <w:rPr>
          <w:lang w:val="nl-NL"/>
        </w:rPr>
        <w:t>monitoring van zorg en metingen van progressie</w:t>
      </w:r>
      <w:r>
        <w:t>, voeding ter voorkoming van ondervoeding. I</w:t>
      </w:r>
      <w:r>
        <w:rPr>
          <w:lang w:val="de-DE"/>
        </w:rPr>
        <w:t>nricht</w:t>
      </w:r>
      <w:r>
        <w:t>ing ter bevordering van zov</w:t>
      </w:r>
      <w:r>
        <w:rPr>
          <w:lang w:val="nl-NL"/>
        </w:rPr>
        <w:t>eel mogelijk bewegen</w:t>
      </w:r>
      <w:r>
        <w:t xml:space="preserve"> </w:t>
      </w:r>
    </w:p>
    <w:p w:rsidR="00AC5D1D" w:rsidRDefault="00575AFA">
      <w:pPr>
        <w:pStyle w:val="Body2"/>
        <w:numPr>
          <w:ilvl w:val="0"/>
          <w:numId w:val="4"/>
        </w:numPr>
      </w:pPr>
      <w:r>
        <w:rPr>
          <w:u w:val="single"/>
          <w:lang w:val="nl-NL"/>
        </w:rPr>
        <w:t>Langer verblijf</w:t>
      </w:r>
      <w:r>
        <w:t xml:space="preserve">  - passende zorg in een revalidatiecentrum of mogelijk “CareBNB” </w:t>
      </w:r>
    </w:p>
    <w:p w:rsidR="00AC5D1D" w:rsidRDefault="00575AFA">
      <w:pPr>
        <w:pStyle w:val="Body2"/>
        <w:numPr>
          <w:ilvl w:val="0"/>
          <w:numId w:val="4"/>
        </w:numPr>
      </w:pPr>
      <w:r>
        <w:rPr>
          <w:u w:val="single"/>
          <w:lang w:val="nl-NL"/>
        </w:rPr>
        <w:t>Ontslagcriteria bereikt</w:t>
      </w:r>
      <w:r>
        <w:t xml:space="preserve"> - i</w:t>
      </w:r>
      <w:r>
        <w:rPr>
          <w:lang w:val="nl-NL"/>
        </w:rPr>
        <w:t>nformatievoorziening rondom ontslag</w:t>
      </w:r>
      <w:r>
        <w:t xml:space="preserve"> </w:t>
      </w:r>
    </w:p>
    <w:p w:rsidR="00AC5D1D" w:rsidRDefault="00575AFA">
      <w:pPr>
        <w:pStyle w:val="Body2"/>
        <w:numPr>
          <w:ilvl w:val="0"/>
          <w:numId w:val="4"/>
        </w:numPr>
      </w:pPr>
      <w:r>
        <w:rPr>
          <w:u w:val="single"/>
          <w:lang w:val="nl-NL"/>
        </w:rPr>
        <w:t>Thuis revalideren</w:t>
      </w:r>
      <w:r>
        <w:t xml:space="preserve"> - </w:t>
      </w:r>
      <w:r>
        <w:rPr>
          <w:lang w:val="nl-NL"/>
        </w:rPr>
        <w:t>informatie over het revalidatieproces</w:t>
      </w:r>
      <w:r>
        <w:t xml:space="preserve">, interactieve ondersteuning voor revalidatie, </w:t>
      </w:r>
      <w:r>
        <w:rPr>
          <w:lang w:val="nl-NL"/>
        </w:rPr>
        <w:t>tracking systemen voor thuisrevalidatie, voortgangsbewaking op afstand</w:t>
      </w:r>
      <w:r>
        <w:t xml:space="preserve">, voeding ter optimale ondersteuning van revalidatie </w:t>
      </w:r>
    </w:p>
    <w:p w:rsidR="00AC5D1D" w:rsidRDefault="00575AFA">
      <w:pPr>
        <w:pStyle w:val="Body2"/>
        <w:numPr>
          <w:ilvl w:val="0"/>
          <w:numId w:val="4"/>
        </w:numPr>
      </w:pPr>
      <w:r>
        <w:rPr>
          <w:u w:val="single"/>
          <w:lang w:val="nl-NL"/>
        </w:rPr>
        <w:t>Zo nodig paramedische begeleiding</w:t>
      </w:r>
      <w:r>
        <w:t xml:space="preserve"> - verzamelen functionele informatie met terugkoppeling naar behandelende paramedici, </w:t>
      </w:r>
      <w:r>
        <w:rPr>
          <w:lang w:val="nl-NL"/>
        </w:rPr>
        <w:t>monitoring en begeleiding van pati</w:t>
      </w:r>
      <w:r>
        <w:t>ënten. V</w:t>
      </w:r>
      <w:r>
        <w:rPr>
          <w:lang w:val="nl-NL"/>
        </w:rPr>
        <w:t>oeding</w:t>
      </w:r>
      <w:r>
        <w:t>, die pati</w:t>
      </w:r>
      <w:r>
        <w:rPr>
          <w:lang w:val="nl-NL"/>
        </w:rPr>
        <w:t>ë</w:t>
      </w:r>
      <w:r>
        <w:t>nten ervan weerhoudt</w:t>
      </w:r>
      <w:r>
        <w:rPr>
          <w:lang w:val="nl-NL"/>
        </w:rPr>
        <w:t xml:space="preserve"> terug</w:t>
      </w:r>
      <w:r>
        <w:t xml:space="preserve"> te </w:t>
      </w:r>
      <w:r>
        <w:rPr>
          <w:lang w:val="nl-NL"/>
        </w:rPr>
        <w:t>vallen in slechte gewoontes</w:t>
      </w:r>
      <w:r>
        <w:t xml:space="preserve"> </w:t>
      </w:r>
    </w:p>
    <w:p w:rsidR="00AC5D1D" w:rsidRDefault="00575AFA">
      <w:pPr>
        <w:pStyle w:val="Body2"/>
        <w:numPr>
          <w:ilvl w:val="0"/>
          <w:numId w:val="4"/>
        </w:numPr>
      </w:pPr>
      <w:r>
        <w:rPr>
          <w:u w:val="single"/>
          <w:lang w:val="de-DE"/>
        </w:rPr>
        <w:t>Specialist nacontrole</w:t>
      </w:r>
      <w:r>
        <w:t xml:space="preserve"> - informatievoorziening voor patiënt, eerste- en tweedelijns zorgverleners </w:t>
      </w:r>
    </w:p>
    <w:p w:rsidR="00AC5D1D" w:rsidRDefault="00575AFA">
      <w:pPr>
        <w:pStyle w:val="Body2"/>
        <w:numPr>
          <w:ilvl w:val="0"/>
          <w:numId w:val="4"/>
        </w:numPr>
      </w:pPr>
      <w:r>
        <w:rPr>
          <w:u w:val="single"/>
        </w:rPr>
        <w:t>Leven</w:t>
      </w:r>
      <w:r>
        <w:t xml:space="preserve"> - begeleiding van een eventueel langere termijn n</w:t>
      </w:r>
      <w:r>
        <w:rPr>
          <w:lang w:val="nl-NL"/>
        </w:rPr>
        <w:t>azorgtraject</w:t>
      </w:r>
      <w:r>
        <w:t xml:space="preserve"> </w:t>
      </w:r>
      <w:r>
        <w:rPr>
          <w:rFonts w:ascii="Arial Unicode MS" w:hAnsi="Arial Unicode MS"/>
        </w:rPr>
        <w:br w:type="page"/>
      </w:r>
    </w:p>
    <w:p w:rsidR="00AC5D1D" w:rsidRDefault="00575AFA">
      <w:pPr>
        <w:pStyle w:val="Heading"/>
      </w:pPr>
      <w:r>
        <w:rPr>
          <w:lang w:val="nl-NL"/>
        </w:rPr>
        <w:lastRenderedPageBreak/>
        <w:t xml:space="preserve">Bevestiging </w:t>
      </w:r>
    </w:p>
    <w:p w:rsidR="00AC5D1D" w:rsidRDefault="00575AFA">
      <w:pPr>
        <w:pStyle w:val="Body2"/>
      </w:pPr>
      <w:r>
        <w:rPr>
          <w:lang w:val="nl-NL"/>
        </w:rPr>
        <w:t>Ondergetekende bevestig</w:t>
      </w:r>
      <w:r>
        <w:t>t,</w:t>
      </w:r>
      <w:r>
        <w:rPr>
          <w:lang w:val="nl-NL"/>
        </w:rPr>
        <w:t xml:space="preserve"> namens </w:t>
      </w:r>
      <w:r>
        <w:t>de onderneming die hij of zij vertegenwoordigt, het</w:t>
      </w:r>
      <w:r>
        <w:rPr>
          <w:lang w:val="nl-NL"/>
        </w:rPr>
        <w:t xml:space="preserve"> voornemen om </w:t>
      </w:r>
      <w:r>
        <w:t>de volgende bijdragen te leveren</w:t>
      </w:r>
      <w:r>
        <w:rPr>
          <w:lang w:val="nl-NL"/>
        </w:rPr>
        <w:t xml:space="preserve"> aan de Health Deal persoonsgerichte, perioperatieve netwerkzorg: </w:t>
      </w:r>
    </w:p>
    <w:tbl>
      <w:tblPr>
        <w:tblW w:w="9492" w:type="dxa"/>
        <w:tblInd w:w="108" w:type="dxa"/>
        <w:tblBorders>
          <w:top w:val="dotted" w:sz="6" w:space="0" w:color="C8C8C8"/>
          <w:left w:val="single" w:sz="2" w:space="0" w:color="929292"/>
          <w:bottom w:val="dotted" w:sz="6" w:space="0" w:color="C8C8C8"/>
          <w:right w:val="single" w:sz="2" w:space="0" w:color="929292"/>
          <w:insideH w:val="single" w:sz="2" w:space="0" w:color="929292"/>
          <w:insideV w:val="single" w:sz="2" w:space="0" w:color="929292"/>
        </w:tblBorders>
        <w:shd w:val="clear" w:color="auto" w:fill="357CA2"/>
        <w:tblLayout w:type="fixed"/>
        <w:tblLook w:val="04A0" w:firstRow="1" w:lastRow="0" w:firstColumn="1" w:lastColumn="0" w:noHBand="0" w:noVBand="1"/>
      </w:tblPr>
      <w:tblGrid>
        <w:gridCol w:w="458"/>
        <w:gridCol w:w="5179"/>
        <w:gridCol w:w="3855"/>
      </w:tblGrid>
      <w:tr w:rsidR="00AC5D1D">
        <w:trPr>
          <w:trHeight w:val="244"/>
          <w:tblHeader/>
        </w:trPr>
        <w:tc>
          <w:tcPr>
            <w:tcW w:w="9492" w:type="dxa"/>
            <w:gridSpan w:val="3"/>
            <w:tcBorders>
              <w:top w:val="nil"/>
              <w:left w:val="nil"/>
              <w:bottom w:val="single" w:sz="6" w:space="0" w:color="C8C8C8"/>
              <w:right w:val="nil"/>
            </w:tcBorders>
            <w:shd w:val="clear" w:color="auto" w:fill="357CA2"/>
            <w:tcMar>
              <w:top w:w="80" w:type="dxa"/>
              <w:left w:w="80" w:type="dxa"/>
              <w:bottom w:w="80" w:type="dxa"/>
              <w:right w:w="80" w:type="dxa"/>
            </w:tcMar>
          </w:tcPr>
          <w:p w:rsidR="00AC5D1D" w:rsidRDefault="00575AFA">
            <w:pPr>
              <w:pStyle w:val="TableStyle5"/>
            </w:pPr>
            <w:r>
              <w:rPr>
                <w:rFonts w:eastAsia="Arial Unicode MS" w:cs="Arial Unicode MS"/>
              </w:rPr>
              <w:t xml:space="preserve">BedrijfsBijdrage aan Actielijn 4 - Faciliterende producten en diensten </w:t>
            </w:r>
          </w:p>
        </w:tc>
      </w:tr>
      <w:tr w:rsidR="00AC5D1D">
        <w:tblPrEx>
          <w:shd w:val="clear" w:color="auto" w:fill="auto"/>
        </w:tblPrEx>
        <w:trPr>
          <w:trHeight w:val="489"/>
        </w:trPr>
        <w:tc>
          <w:tcPr>
            <w:tcW w:w="5637" w:type="dxa"/>
            <w:gridSpan w:val="2"/>
            <w:tcBorders>
              <w:top w:val="single" w:sz="6" w:space="0" w:color="C8C8C8"/>
              <w:left w:val="nil"/>
              <w:bottom w:val="single" w:sz="6" w:space="0" w:color="C8C8C8"/>
              <w:right w:val="single" w:sz="6" w:space="0" w:color="C8C8C8"/>
            </w:tcBorders>
            <w:shd w:val="clear" w:color="auto" w:fill="auto"/>
            <w:tcMar>
              <w:top w:w="80" w:type="dxa"/>
              <w:left w:w="80" w:type="dxa"/>
              <w:bottom w:w="80" w:type="dxa"/>
              <w:right w:w="80" w:type="dxa"/>
            </w:tcMar>
          </w:tcPr>
          <w:p w:rsidR="00AC5D1D" w:rsidRDefault="00575AFA">
            <w:pPr>
              <w:pStyle w:val="TableStyle2"/>
              <w:tabs>
                <w:tab w:val="left" w:pos="920"/>
                <w:tab w:val="left" w:pos="1840"/>
                <w:tab w:val="left" w:pos="2760"/>
                <w:tab w:val="left" w:pos="3680"/>
                <w:tab w:val="left" w:pos="4600"/>
                <w:tab w:val="left" w:pos="5520"/>
              </w:tabs>
            </w:pPr>
            <w:r>
              <w:rPr>
                <w:rFonts w:ascii="Helvetica Neue" w:hAnsi="Helvetica Neue"/>
                <w:b/>
                <w:bCs/>
              </w:rPr>
              <w:t xml:space="preserve">Bijdrage aan programmatische kosten van de Health Deal (€ / jaar) </w:t>
            </w:r>
          </w:p>
        </w:tc>
        <w:tc>
          <w:tcPr>
            <w:tcW w:w="3854" w:type="dxa"/>
            <w:tcBorders>
              <w:top w:val="single" w:sz="6" w:space="0" w:color="C8C8C8"/>
              <w:left w:val="single" w:sz="6" w:space="0" w:color="C8C8C8"/>
              <w:bottom w:val="single" w:sz="6" w:space="0" w:color="C8C8C8"/>
              <w:right w:val="dotted" w:sz="6" w:space="0" w:color="C8C8C8"/>
            </w:tcBorders>
            <w:shd w:val="clear" w:color="auto" w:fill="auto"/>
            <w:tcMar>
              <w:top w:w="80" w:type="dxa"/>
              <w:left w:w="80" w:type="dxa"/>
              <w:bottom w:w="80" w:type="dxa"/>
              <w:right w:w="80" w:type="dxa"/>
            </w:tcMar>
          </w:tcPr>
          <w:p w:rsidR="00AC5D1D" w:rsidRDefault="00AC5D1D"/>
        </w:tc>
      </w:tr>
      <w:tr w:rsidR="00AC5D1D">
        <w:tblPrEx>
          <w:shd w:val="clear" w:color="auto" w:fill="auto"/>
        </w:tblPrEx>
        <w:trPr>
          <w:trHeight w:val="969"/>
        </w:trPr>
        <w:tc>
          <w:tcPr>
            <w:tcW w:w="5637" w:type="dxa"/>
            <w:gridSpan w:val="2"/>
            <w:tcBorders>
              <w:top w:val="single" w:sz="6" w:space="0" w:color="C8C8C8"/>
              <w:left w:val="nil"/>
              <w:bottom w:val="single" w:sz="6" w:space="0" w:color="C8C8C8"/>
              <w:right w:val="single" w:sz="6" w:space="0" w:color="C8C8C8"/>
            </w:tcBorders>
            <w:shd w:val="clear" w:color="auto" w:fill="auto"/>
            <w:tcMar>
              <w:top w:w="80" w:type="dxa"/>
              <w:left w:w="80" w:type="dxa"/>
              <w:bottom w:w="80" w:type="dxa"/>
              <w:right w:w="80" w:type="dxa"/>
            </w:tcMar>
          </w:tcPr>
          <w:p w:rsidR="00AC5D1D" w:rsidRDefault="00575AFA">
            <w:pPr>
              <w:pStyle w:val="TableStyle2"/>
              <w:tabs>
                <w:tab w:val="left" w:pos="920"/>
                <w:tab w:val="left" w:pos="1840"/>
                <w:tab w:val="left" w:pos="2760"/>
                <w:tab w:val="left" w:pos="3680"/>
                <w:tab w:val="left" w:pos="4600"/>
                <w:tab w:val="left" w:pos="5520"/>
              </w:tabs>
            </w:pPr>
            <w:r>
              <w:rPr>
                <w:rFonts w:ascii="Helvetica Neue" w:hAnsi="Helvetica Neue"/>
                <w:b/>
                <w:bCs/>
              </w:rPr>
              <w:t xml:space="preserve">Inhoudelijke bijdrage: </w:t>
            </w:r>
          </w:p>
          <w:p w:rsidR="00AC5D1D" w:rsidRDefault="00575AFA">
            <w:pPr>
              <w:pStyle w:val="TableStyle2"/>
              <w:tabs>
                <w:tab w:val="left" w:pos="920"/>
                <w:tab w:val="left" w:pos="1840"/>
                <w:tab w:val="left" w:pos="2760"/>
                <w:tab w:val="left" w:pos="3680"/>
                <w:tab w:val="left" w:pos="4600"/>
                <w:tab w:val="left" w:pos="5520"/>
              </w:tabs>
            </w:pPr>
            <w:r>
              <w:rPr>
                <w:rFonts w:ascii="Helvetica Neue" w:hAnsi="Helvetica Neue"/>
                <w:b/>
                <w:bCs/>
              </w:rPr>
              <w:t xml:space="preserve">(per processtap - zie eerdere figuur) </w:t>
            </w:r>
          </w:p>
        </w:tc>
        <w:tc>
          <w:tcPr>
            <w:tcW w:w="3854" w:type="dxa"/>
            <w:tcBorders>
              <w:top w:val="single" w:sz="6" w:space="0" w:color="C8C8C8"/>
              <w:left w:val="single" w:sz="6" w:space="0" w:color="C8C8C8"/>
              <w:bottom w:val="single" w:sz="6" w:space="0" w:color="C8C8C8"/>
              <w:right w:val="dotted" w:sz="6" w:space="0" w:color="C8C8C8"/>
            </w:tcBorders>
            <w:shd w:val="clear" w:color="auto" w:fill="auto"/>
            <w:tcMar>
              <w:top w:w="80" w:type="dxa"/>
              <w:left w:w="80" w:type="dxa"/>
              <w:bottom w:w="80" w:type="dxa"/>
              <w:right w:w="80" w:type="dxa"/>
            </w:tcMar>
          </w:tcPr>
          <w:p w:rsidR="00AC5D1D" w:rsidRDefault="00575AFA">
            <w:pPr>
              <w:pStyle w:val="TableStyle2"/>
              <w:tabs>
                <w:tab w:val="left" w:pos="920"/>
                <w:tab w:val="left" w:pos="1840"/>
                <w:tab w:val="left" w:pos="2760"/>
                <w:tab w:val="left" w:pos="3680"/>
              </w:tabs>
            </w:pPr>
            <w:r>
              <w:rPr>
                <w:rFonts w:ascii="Helvetica Neue" w:hAnsi="Helvetica Neue"/>
                <w:b/>
                <w:bCs/>
              </w:rPr>
              <w:t xml:space="preserve">Omvang van bijdrage in natura (€-waarde van producten en diensten en / of gemiddeld aantal mens-uren / wk) </w:t>
            </w:r>
          </w:p>
        </w:tc>
      </w:tr>
      <w:tr w:rsidR="00AC5D1D">
        <w:tblPrEx>
          <w:shd w:val="clear" w:color="auto" w:fill="auto"/>
        </w:tblPrEx>
        <w:trPr>
          <w:trHeight w:val="249"/>
        </w:trPr>
        <w:tc>
          <w:tcPr>
            <w:tcW w:w="458" w:type="dxa"/>
            <w:tcBorders>
              <w:top w:val="single" w:sz="6" w:space="0" w:color="C8C8C8"/>
              <w:left w:val="nil"/>
              <w:bottom w:val="dotted" w:sz="6" w:space="0" w:color="C8C8C8"/>
              <w:right w:val="nil"/>
            </w:tcBorders>
            <w:shd w:val="clear" w:color="auto" w:fill="auto"/>
            <w:tcMar>
              <w:top w:w="80" w:type="dxa"/>
              <w:left w:w="80" w:type="dxa"/>
              <w:bottom w:w="80" w:type="dxa"/>
              <w:right w:w="80" w:type="dxa"/>
            </w:tcMar>
          </w:tcPr>
          <w:p w:rsidR="00AC5D1D" w:rsidRDefault="00575AFA">
            <w:pPr>
              <w:tabs>
                <w:tab w:val="right" w:pos="1267"/>
                <w:tab w:val="right" w:pos="1333"/>
              </w:tabs>
              <w:jc w:val="right"/>
            </w:pPr>
            <w:r>
              <w:rPr>
                <w:rFonts w:ascii="Helvetica Neue Light" w:hAnsi="Helvetica Neue Light" w:cs="Arial Unicode MS"/>
                <w:color w:val="000000"/>
                <w:sz w:val="20"/>
                <w:szCs w:val="20"/>
              </w:rPr>
              <w:t>1</w:t>
            </w:r>
          </w:p>
        </w:tc>
        <w:tc>
          <w:tcPr>
            <w:tcW w:w="5179" w:type="dxa"/>
            <w:tcBorders>
              <w:top w:val="single" w:sz="6" w:space="0" w:color="C8C8C8"/>
              <w:left w:val="nil"/>
              <w:bottom w:val="dotted" w:sz="6" w:space="0" w:color="C8C8C8"/>
              <w:right w:val="dotted" w:sz="6" w:space="0" w:color="C8C8C8"/>
            </w:tcBorders>
            <w:shd w:val="clear" w:color="auto" w:fill="auto"/>
            <w:tcMar>
              <w:top w:w="80" w:type="dxa"/>
              <w:left w:w="80" w:type="dxa"/>
              <w:bottom w:w="80" w:type="dxa"/>
              <w:right w:w="80" w:type="dxa"/>
            </w:tcMar>
          </w:tcPr>
          <w:p w:rsidR="00AC5D1D" w:rsidRDefault="00AC5D1D"/>
        </w:tc>
        <w:tc>
          <w:tcPr>
            <w:tcW w:w="3854" w:type="dxa"/>
            <w:tcBorders>
              <w:top w:val="single" w:sz="6" w:space="0" w:color="C8C8C8"/>
              <w:left w:val="dotted" w:sz="6" w:space="0" w:color="C8C8C8"/>
              <w:bottom w:val="dotted" w:sz="6" w:space="0" w:color="C8C8C8"/>
              <w:right w:val="dotted" w:sz="6" w:space="0" w:color="C8C8C8"/>
            </w:tcBorders>
            <w:shd w:val="clear" w:color="auto" w:fill="auto"/>
            <w:tcMar>
              <w:top w:w="80" w:type="dxa"/>
              <w:left w:w="80" w:type="dxa"/>
              <w:bottom w:w="80" w:type="dxa"/>
              <w:right w:w="80" w:type="dxa"/>
            </w:tcMar>
          </w:tcPr>
          <w:p w:rsidR="00AC5D1D" w:rsidRDefault="00AC5D1D"/>
        </w:tc>
      </w:tr>
      <w:tr w:rsidR="00AC5D1D">
        <w:tblPrEx>
          <w:shd w:val="clear" w:color="auto" w:fill="auto"/>
        </w:tblPrEx>
        <w:trPr>
          <w:trHeight w:val="249"/>
        </w:trPr>
        <w:tc>
          <w:tcPr>
            <w:tcW w:w="458" w:type="dxa"/>
            <w:tcBorders>
              <w:top w:val="dotted" w:sz="6" w:space="0" w:color="C8C8C8"/>
              <w:left w:val="nil"/>
              <w:bottom w:val="dotted" w:sz="6" w:space="0" w:color="C8C8C8"/>
              <w:right w:val="nil"/>
            </w:tcBorders>
            <w:shd w:val="clear" w:color="auto" w:fill="auto"/>
            <w:tcMar>
              <w:top w:w="80" w:type="dxa"/>
              <w:left w:w="80" w:type="dxa"/>
              <w:bottom w:w="80" w:type="dxa"/>
              <w:right w:w="80" w:type="dxa"/>
            </w:tcMar>
          </w:tcPr>
          <w:p w:rsidR="00AC5D1D" w:rsidRDefault="00575AFA">
            <w:pPr>
              <w:tabs>
                <w:tab w:val="right" w:pos="1267"/>
                <w:tab w:val="right" w:pos="1333"/>
              </w:tabs>
              <w:jc w:val="right"/>
            </w:pPr>
            <w:r>
              <w:rPr>
                <w:rFonts w:ascii="Helvetica Neue Light" w:hAnsi="Helvetica Neue Light" w:cs="Arial Unicode MS"/>
                <w:color w:val="000000"/>
                <w:sz w:val="20"/>
                <w:szCs w:val="20"/>
              </w:rPr>
              <w:t>2</w:t>
            </w:r>
          </w:p>
        </w:tc>
        <w:tc>
          <w:tcPr>
            <w:tcW w:w="5179" w:type="dxa"/>
            <w:tcBorders>
              <w:top w:val="dotted" w:sz="6" w:space="0" w:color="C8C8C8"/>
              <w:left w:val="nil"/>
              <w:bottom w:val="dotted" w:sz="6" w:space="0" w:color="C8C8C8"/>
              <w:right w:val="dotted" w:sz="6" w:space="0" w:color="C8C8C8"/>
            </w:tcBorders>
            <w:shd w:val="clear" w:color="auto" w:fill="auto"/>
            <w:tcMar>
              <w:top w:w="80" w:type="dxa"/>
              <w:left w:w="80" w:type="dxa"/>
              <w:bottom w:w="80" w:type="dxa"/>
              <w:right w:w="80" w:type="dxa"/>
            </w:tcMar>
          </w:tcPr>
          <w:p w:rsidR="00AC5D1D" w:rsidRDefault="00AC5D1D"/>
        </w:tc>
        <w:tc>
          <w:tcPr>
            <w:tcW w:w="3854" w:type="dxa"/>
            <w:tcBorders>
              <w:top w:val="dotted" w:sz="6" w:space="0" w:color="C8C8C8"/>
              <w:left w:val="dotted" w:sz="6" w:space="0" w:color="C8C8C8"/>
              <w:bottom w:val="dotted" w:sz="6" w:space="0" w:color="C8C8C8"/>
              <w:right w:val="dotted" w:sz="6" w:space="0" w:color="C8C8C8"/>
            </w:tcBorders>
            <w:shd w:val="clear" w:color="auto" w:fill="auto"/>
            <w:tcMar>
              <w:top w:w="80" w:type="dxa"/>
              <w:left w:w="80" w:type="dxa"/>
              <w:bottom w:w="80" w:type="dxa"/>
              <w:right w:w="80" w:type="dxa"/>
            </w:tcMar>
          </w:tcPr>
          <w:p w:rsidR="00AC5D1D" w:rsidRDefault="00AC5D1D"/>
        </w:tc>
      </w:tr>
      <w:tr w:rsidR="00AC5D1D">
        <w:tblPrEx>
          <w:shd w:val="clear" w:color="auto" w:fill="auto"/>
        </w:tblPrEx>
        <w:trPr>
          <w:trHeight w:val="249"/>
        </w:trPr>
        <w:tc>
          <w:tcPr>
            <w:tcW w:w="458" w:type="dxa"/>
            <w:tcBorders>
              <w:top w:val="dotted" w:sz="6" w:space="0" w:color="C8C8C8"/>
              <w:left w:val="nil"/>
              <w:bottom w:val="dotted" w:sz="6" w:space="0" w:color="C8C8C8"/>
              <w:right w:val="nil"/>
            </w:tcBorders>
            <w:shd w:val="clear" w:color="auto" w:fill="auto"/>
            <w:tcMar>
              <w:top w:w="80" w:type="dxa"/>
              <w:left w:w="80" w:type="dxa"/>
              <w:bottom w:w="80" w:type="dxa"/>
              <w:right w:w="80" w:type="dxa"/>
            </w:tcMar>
          </w:tcPr>
          <w:p w:rsidR="00AC5D1D" w:rsidRDefault="00575AFA">
            <w:pPr>
              <w:tabs>
                <w:tab w:val="right" w:pos="1267"/>
                <w:tab w:val="right" w:pos="1333"/>
              </w:tabs>
              <w:jc w:val="right"/>
            </w:pPr>
            <w:r>
              <w:rPr>
                <w:rFonts w:ascii="Helvetica Neue Light" w:hAnsi="Helvetica Neue Light" w:cs="Arial Unicode MS"/>
                <w:color w:val="000000"/>
                <w:sz w:val="20"/>
                <w:szCs w:val="20"/>
              </w:rPr>
              <w:t>3</w:t>
            </w:r>
          </w:p>
        </w:tc>
        <w:tc>
          <w:tcPr>
            <w:tcW w:w="5179" w:type="dxa"/>
            <w:tcBorders>
              <w:top w:val="dotted" w:sz="6" w:space="0" w:color="C8C8C8"/>
              <w:left w:val="nil"/>
              <w:bottom w:val="dotted" w:sz="6" w:space="0" w:color="C8C8C8"/>
              <w:right w:val="dotted" w:sz="6" w:space="0" w:color="C8C8C8"/>
            </w:tcBorders>
            <w:shd w:val="clear" w:color="auto" w:fill="auto"/>
            <w:tcMar>
              <w:top w:w="80" w:type="dxa"/>
              <w:left w:w="80" w:type="dxa"/>
              <w:bottom w:w="80" w:type="dxa"/>
              <w:right w:w="80" w:type="dxa"/>
            </w:tcMar>
          </w:tcPr>
          <w:p w:rsidR="00AC5D1D" w:rsidRDefault="00AC5D1D"/>
        </w:tc>
        <w:tc>
          <w:tcPr>
            <w:tcW w:w="3854" w:type="dxa"/>
            <w:tcBorders>
              <w:top w:val="dotted" w:sz="6" w:space="0" w:color="C8C8C8"/>
              <w:left w:val="dotted" w:sz="6" w:space="0" w:color="C8C8C8"/>
              <w:bottom w:val="dotted" w:sz="6" w:space="0" w:color="C8C8C8"/>
              <w:right w:val="dotted" w:sz="6" w:space="0" w:color="C8C8C8"/>
            </w:tcBorders>
            <w:shd w:val="clear" w:color="auto" w:fill="auto"/>
            <w:tcMar>
              <w:top w:w="80" w:type="dxa"/>
              <w:left w:w="80" w:type="dxa"/>
              <w:bottom w:w="80" w:type="dxa"/>
              <w:right w:w="80" w:type="dxa"/>
            </w:tcMar>
          </w:tcPr>
          <w:p w:rsidR="00AC5D1D" w:rsidRDefault="00AC5D1D"/>
        </w:tc>
      </w:tr>
      <w:tr w:rsidR="00AC5D1D">
        <w:tblPrEx>
          <w:shd w:val="clear" w:color="auto" w:fill="auto"/>
        </w:tblPrEx>
        <w:trPr>
          <w:trHeight w:val="249"/>
        </w:trPr>
        <w:tc>
          <w:tcPr>
            <w:tcW w:w="458" w:type="dxa"/>
            <w:tcBorders>
              <w:top w:val="dotted" w:sz="6" w:space="0" w:color="C8C8C8"/>
              <w:left w:val="nil"/>
              <w:bottom w:val="dotted" w:sz="6" w:space="0" w:color="C8C8C8"/>
              <w:right w:val="nil"/>
            </w:tcBorders>
            <w:shd w:val="clear" w:color="auto" w:fill="auto"/>
            <w:tcMar>
              <w:top w:w="80" w:type="dxa"/>
              <w:left w:w="80" w:type="dxa"/>
              <w:bottom w:w="80" w:type="dxa"/>
              <w:right w:w="80" w:type="dxa"/>
            </w:tcMar>
          </w:tcPr>
          <w:p w:rsidR="00AC5D1D" w:rsidRDefault="00575AFA">
            <w:pPr>
              <w:tabs>
                <w:tab w:val="right" w:pos="1267"/>
                <w:tab w:val="right" w:pos="1333"/>
              </w:tabs>
              <w:jc w:val="right"/>
            </w:pPr>
            <w:r>
              <w:rPr>
                <w:rFonts w:ascii="Helvetica Neue Light" w:hAnsi="Helvetica Neue Light" w:cs="Arial Unicode MS"/>
                <w:color w:val="000000"/>
                <w:sz w:val="20"/>
                <w:szCs w:val="20"/>
              </w:rPr>
              <w:t>4</w:t>
            </w:r>
          </w:p>
        </w:tc>
        <w:tc>
          <w:tcPr>
            <w:tcW w:w="5179" w:type="dxa"/>
            <w:tcBorders>
              <w:top w:val="dotted" w:sz="6" w:space="0" w:color="C8C8C8"/>
              <w:left w:val="nil"/>
              <w:bottom w:val="dotted" w:sz="6" w:space="0" w:color="C8C8C8"/>
              <w:right w:val="dotted" w:sz="6" w:space="0" w:color="C8C8C8"/>
            </w:tcBorders>
            <w:shd w:val="clear" w:color="auto" w:fill="auto"/>
            <w:tcMar>
              <w:top w:w="80" w:type="dxa"/>
              <w:left w:w="80" w:type="dxa"/>
              <w:bottom w:w="80" w:type="dxa"/>
              <w:right w:w="80" w:type="dxa"/>
            </w:tcMar>
          </w:tcPr>
          <w:p w:rsidR="00AC5D1D" w:rsidRDefault="00AC5D1D"/>
        </w:tc>
        <w:tc>
          <w:tcPr>
            <w:tcW w:w="3854" w:type="dxa"/>
            <w:tcBorders>
              <w:top w:val="dotted" w:sz="6" w:space="0" w:color="C8C8C8"/>
              <w:left w:val="dotted" w:sz="6" w:space="0" w:color="C8C8C8"/>
              <w:bottom w:val="dotted" w:sz="6" w:space="0" w:color="C8C8C8"/>
              <w:right w:val="dotted" w:sz="6" w:space="0" w:color="C8C8C8"/>
            </w:tcBorders>
            <w:shd w:val="clear" w:color="auto" w:fill="auto"/>
            <w:tcMar>
              <w:top w:w="80" w:type="dxa"/>
              <w:left w:w="80" w:type="dxa"/>
              <w:bottom w:w="80" w:type="dxa"/>
              <w:right w:w="80" w:type="dxa"/>
            </w:tcMar>
          </w:tcPr>
          <w:p w:rsidR="00AC5D1D" w:rsidRDefault="00AC5D1D"/>
        </w:tc>
      </w:tr>
      <w:tr w:rsidR="00AC5D1D">
        <w:tblPrEx>
          <w:shd w:val="clear" w:color="auto" w:fill="auto"/>
        </w:tblPrEx>
        <w:trPr>
          <w:trHeight w:val="249"/>
        </w:trPr>
        <w:tc>
          <w:tcPr>
            <w:tcW w:w="458" w:type="dxa"/>
            <w:tcBorders>
              <w:top w:val="dotted" w:sz="6" w:space="0" w:color="C8C8C8"/>
              <w:left w:val="nil"/>
              <w:bottom w:val="dotted" w:sz="6" w:space="0" w:color="C8C8C8"/>
              <w:right w:val="nil"/>
            </w:tcBorders>
            <w:shd w:val="clear" w:color="auto" w:fill="auto"/>
            <w:tcMar>
              <w:top w:w="80" w:type="dxa"/>
              <w:left w:w="80" w:type="dxa"/>
              <w:bottom w:w="80" w:type="dxa"/>
              <w:right w:w="80" w:type="dxa"/>
            </w:tcMar>
          </w:tcPr>
          <w:p w:rsidR="00AC5D1D" w:rsidRDefault="00575AFA">
            <w:pPr>
              <w:tabs>
                <w:tab w:val="right" w:pos="1267"/>
                <w:tab w:val="right" w:pos="1333"/>
              </w:tabs>
              <w:jc w:val="right"/>
            </w:pPr>
            <w:r>
              <w:rPr>
                <w:rFonts w:ascii="Helvetica Neue Light" w:hAnsi="Helvetica Neue Light" w:cs="Arial Unicode MS"/>
                <w:color w:val="000000"/>
                <w:sz w:val="20"/>
                <w:szCs w:val="20"/>
              </w:rPr>
              <w:t>5</w:t>
            </w:r>
          </w:p>
        </w:tc>
        <w:tc>
          <w:tcPr>
            <w:tcW w:w="5179" w:type="dxa"/>
            <w:tcBorders>
              <w:top w:val="dotted" w:sz="6" w:space="0" w:color="C8C8C8"/>
              <w:left w:val="nil"/>
              <w:bottom w:val="dotted" w:sz="6" w:space="0" w:color="C8C8C8"/>
              <w:right w:val="dotted" w:sz="6" w:space="0" w:color="C8C8C8"/>
            </w:tcBorders>
            <w:shd w:val="clear" w:color="auto" w:fill="auto"/>
            <w:tcMar>
              <w:top w:w="80" w:type="dxa"/>
              <w:left w:w="80" w:type="dxa"/>
              <w:bottom w:w="80" w:type="dxa"/>
              <w:right w:w="80" w:type="dxa"/>
            </w:tcMar>
          </w:tcPr>
          <w:p w:rsidR="00AC5D1D" w:rsidRDefault="00AC5D1D"/>
        </w:tc>
        <w:tc>
          <w:tcPr>
            <w:tcW w:w="3854" w:type="dxa"/>
            <w:tcBorders>
              <w:top w:val="dotted" w:sz="6" w:space="0" w:color="C8C8C8"/>
              <w:left w:val="dotted" w:sz="6" w:space="0" w:color="C8C8C8"/>
              <w:bottom w:val="dotted" w:sz="6" w:space="0" w:color="C8C8C8"/>
              <w:right w:val="dotted" w:sz="6" w:space="0" w:color="C8C8C8"/>
            </w:tcBorders>
            <w:shd w:val="clear" w:color="auto" w:fill="auto"/>
            <w:tcMar>
              <w:top w:w="80" w:type="dxa"/>
              <w:left w:w="80" w:type="dxa"/>
              <w:bottom w:w="80" w:type="dxa"/>
              <w:right w:w="80" w:type="dxa"/>
            </w:tcMar>
          </w:tcPr>
          <w:p w:rsidR="00AC5D1D" w:rsidRDefault="00AC5D1D"/>
        </w:tc>
      </w:tr>
      <w:tr w:rsidR="00AC5D1D">
        <w:tblPrEx>
          <w:shd w:val="clear" w:color="auto" w:fill="auto"/>
        </w:tblPrEx>
        <w:trPr>
          <w:trHeight w:val="249"/>
        </w:trPr>
        <w:tc>
          <w:tcPr>
            <w:tcW w:w="458" w:type="dxa"/>
            <w:tcBorders>
              <w:top w:val="dotted" w:sz="6" w:space="0" w:color="C8C8C8"/>
              <w:left w:val="nil"/>
              <w:bottom w:val="dotted" w:sz="6" w:space="0" w:color="C8C8C8"/>
              <w:right w:val="nil"/>
            </w:tcBorders>
            <w:shd w:val="clear" w:color="auto" w:fill="auto"/>
            <w:tcMar>
              <w:top w:w="80" w:type="dxa"/>
              <w:left w:w="80" w:type="dxa"/>
              <w:bottom w:w="80" w:type="dxa"/>
              <w:right w:w="80" w:type="dxa"/>
            </w:tcMar>
          </w:tcPr>
          <w:p w:rsidR="00AC5D1D" w:rsidRDefault="00575AFA">
            <w:pPr>
              <w:tabs>
                <w:tab w:val="right" w:pos="1267"/>
                <w:tab w:val="right" w:pos="1333"/>
              </w:tabs>
              <w:jc w:val="right"/>
            </w:pPr>
            <w:r>
              <w:rPr>
                <w:rFonts w:ascii="Helvetica Neue Light" w:hAnsi="Helvetica Neue Light" w:cs="Arial Unicode MS"/>
                <w:color w:val="000000"/>
                <w:sz w:val="20"/>
                <w:szCs w:val="20"/>
              </w:rPr>
              <w:t>6</w:t>
            </w:r>
          </w:p>
        </w:tc>
        <w:tc>
          <w:tcPr>
            <w:tcW w:w="5179" w:type="dxa"/>
            <w:tcBorders>
              <w:top w:val="dotted" w:sz="6" w:space="0" w:color="C8C8C8"/>
              <w:left w:val="nil"/>
              <w:bottom w:val="dotted" w:sz="6" w:space="0" w:color="C8C8C8"/>
              <w:right w:val="dotted" w:sz="6" w:space="0" w:color="C8C8C8"/>
            </w:tcBorders>
            <w:shd w:val="clear" w:color="auto" w:fill="auto"/>
            <w:tcMar>
              <w:top w:w="80" w:type="dxa"/>
              <w:left w:w="80" w:type="dxa"/>
              <w:bottom w:w="80" w:type="dxa"/>
              <w:right w:w="80" w:type="dxa"/>
            </w:tcMar>
          </w:tcPr>
          <w:p w:rsidR="00AC5D1D" w:rsidRDefault="00AC5D1D"/>
        </w:tc>
        <w:tc>
          <w:tcPr>
            <w:tcW w:w="3854" w:type="dxa"/>
            <w:tcBorders>
              <w:top w:val="dotted" w:sz="6" w:space="0" w:color="C8C8C8"/>
              <w:left w:val="dotted" w:sz="6" w:space="0" w:color="C8C8C8"/>
              <w:bottom w:val="dotted" w:sz="6" w:space="0" w:color="C8C8C8"/>
              <w:right w:val="dotted" w:sz="6" w:space="0" w:color="C8C8C8"/>
            </w:tcBorders>
            <w:shd w:val="clear" w:color="auto" w:fill="auto"/>
            <w:tcMar>
              <w:top w:w="80" w:type="dxa"/>
              <w:left w:w="80" w:type="dxa"/>
              <w:bottom w:w="80" w:type="dxa"/>
              <w:right w:w="80" w:type="dxa"/>
            </w:tcMar>
          </w:tcPr>
          <w:p w:rsidR="00AC5D1D" w:rsidRDefault="00AC5D1D"/>
        </w:tc>
      </w:tr>
      <w:tr w:rsidR="00AC5D1D">
        <w:tblPrEx>
          <w:shd w:val="clear" w:color="auto" w:fill="auto"/>
        </w:tblPrEx>
        <w:trPr>
          <w:trHeight w:val="249"/>
        </w:trPr>
        <w:tc>
          <w:tcPr>
            <w:tcW w:w="458" w:type="dxa"/>
            <w:tcBorders>
              <w:top w:val="dotted" w:sz="6" w:space="0" w:color="C8C8C8"/>
              <w:left w:val="nil"/>
              <w:bottom w:val="dotted" w:sz="6" w:space="0" w:color="C8C8C8"/>
              <w:right w:val="nil"/>
            </w:tcBorders>
            <w:shd w:val="clear" w:color="auto" w:fill="auto"/>
            <w:tcMar>
              <w:top w:w="80" w:type="dxa"/>
              <w:left w:w="80" w:type="dxa"/>
              <w:bottom w:w="80" w:type="dxa"/>
              <w:right w:w="80" w:type="dxa"/>
            </w:tcMar>
          </w:tcPr>
          <w:p w:rsidR="00AC5D1D" w:rsidRDefault="00575AFA">
            <w:pPr>
              <w:tabs>
                <w:tab w:val="right" w:pos="1267"/>
                <w:tab w:val="right" w:pos="1333"/>
              </w:tabs>
              <w:jc w:val="right"/>
            </w:pPr>
            <w:r>
              <w:rPr>
                <w:rFonts w:ascii="Helvetica Neue Light" w:hAnsi="Helvetica Neue Light" w:cs="Arial Unicode MS"/>
                <w:color w:val="000000"/>
                <w:sz w:val="20"/>
                <w:szCs w:val="20"/>
              </w:rPr>
              <w:t>7</w:t>
            </w:r>
          </w:p>
        </w:tc>
        <w:tc>
          <w:tcPr>
            <w:tcW w:w="5179" w:type="dxa"/>
            <w:tcBorders>
              <w:top w:val="dotted" w:sz="6" w:space="0" w:color="C8C8C8"/>
              <w:left w:val="nil"/>
              <w:bottom w:val="dotted" w:sz="6" w:space="0" w:color="C8C8C8"/>
              <w:right w:val="dotted" w:sz="6" w:space="0" w:color="C8C8C8"/>
            </w:tcBorders>
            <w:shd w:val="clear" w:color="auto" w:fill="auto"/>
            <w:tcMar>
              <w:top w:w="80" w:type="dxa"/>
              <w:left w:w="80" w:type="dxa"/>
              <w:bottom w:w="80" w:type="dxa"/>
              <w:right w:w="80" w:type="dxa"/>
            </w:tcMar>
          </w:tcPr>
          <w:p w:rsidR="00AC5D1D" w:rsidRDefault="00AC5D1D"/>
        </w:tc>
        <w:tc>
          <w:tcPr>
            <w:tcW w:w="3854" w:type="dxa"/>
            <w:tcBorders>
              <w:top w:val="dotted" w:sz="6" w:space="0" w:color="C8C8C8"/>
              <w:left w:val="dotted" w:sz="6" w:space="0" w:color="C8C8C8"/>
              <w:bottom w:val="dotted" w:sz="6" w:space="0" w:color="C8C8C8"/>
              <w:right w:val="dotted" w:sz="6" w:space="0" w:color="C8C8C8"/>
            </w:tcBorders>
            <w:shd w:val="clear" w:color="auto" w:fill="auto"/>
            <w:tcMar>
              <w:top w:w="80" w:type="dxa"/>
              <w:left w:w="80" w:type="dxa"/>
              <w:bottom w:w="80" w:type="dxa"/>
              <w:right w:w="80" w:type="dxa"/>
            </w:tcMar>
          </w:tcPr>
          <w:p w:rsidR="00AC5D1D" w:rsidRDefault="00AC5D1D"/>
        </w:tc>
      </w:tr>
      <w:tr w:rsidR="00AC5D1D">
        <w:tblPrEx>
          <w:shd w:val="clear" w:color="auto" w:fill="auto"/>
        </w:tblPrEx>
        <w:trPr>
          <w:trHeight w:val="249"/>
        </w:trPr>
        <w:tc>
          <w:tcPr>
            <w:tcW w:w="458" w:type="dxa"/>
            <w:tcBorders>
              <w:top w:val="dotted" w:sz="6" w:space="0" w:color="C8C8C8"/>
              <w:left w:val="nil"/>
              <w:bottom w:val="dotted" w:sz="6" w:space="0" w:color="C8C8C8"/>
              <w:right w:val="nil"/>
            </w:tcBorders>
            <w:shd w:val="clear" w:color="auto" w:fill="auto"/>
            <w:tcMar>
              <w:top w:w="80" w:type="dxa"/>
              <w:left w:w="80" w:type="dxa"/>
              <w:bottom w:w="80" w:type="dxa"/>
              <w:right w:w="80" w:type="dxa"/>
            </w:tcMar>
          </w:tcPr>
          <w:p w:rsidR="00AC5D1D" w:rsidRDefault="00575AFA">
            <w:pPr>
              <w:tabs>
                <w:tab w:val="right" w:pos="1267"/>
                <w:tab w:val="right" w:pos="1333"/>
              </w:tabs>
              <w:jc w:val="right"/>
            </w:pPr>
            <w:r>
              <w:rPr>
                <w:rFonts w:ascii="Helvetica Neue Light" w:hAnsi="Helvetica Neue Light" w:cs="Arial Unicode MS"/>
                <w:color w:val="000000"/>
                <w:sz w:val="20"/>
                <w:szCs w:val="20"/>
              </w:rPr>
              <w:t>8</w:t>
            </w:r>
          </w:p>
        </w:tc>
        <w:tc>
          <w:tcPr>
            <w:tcW w:w="5179" w:type="dxa"/>
            <w:tcBorders>
              <w:top w:val="dotted" w:sz="6" w:space="0" w:color="C8C8C8"/>
              <w:left w:val="nil"/>
              <w:bottom w:val="dotted" w:sz="6" w:space="0" w:color="C8C8C8"/>
              <w:right w:val="dotted" w:sz="6" w:space="0" w:color="C8C8C8"/>
            </w:tcBorders>
            <w:shd w:val="clear" w:color="auto" w:fill="auto"/>
            <w:tcMar>
              <w:top w:w="80" w:type="dxa"/>
              <w:left w:w="80" w:type="dxa"/>
              <w:bottom w:w="80" w:type="dxa"/>
              <w:right w:w="80" w:type="dxa"/>
            </w:tcMar>
          </w:tcPr>
          <w:p w:rsidR="00AC5D1D" w:rsidRDefault="00AC5D1D"/>
        </w:tc>
        <w:tc>
          <w:tcPr>
            <w:tcW w:w="3854" w:type="dxa"/>
            <w:tcBorders>
              <w:top w:val="dotted" w:sz="6" w:space="0" w:color="C8C8C8"/>
              <w:left w:val="dotted" w:sz="6" w:space="0" w:color="C8C8C8"/>
              <w:bottom w:val="dotted" w:sz="6" w:space="0" w:color="C8C8C8"/>
              <w:right w:val="dotted" w:sz="6" w:space="0" w:color="C8C8C8"/>
            </w:tcBorders>
            <w:shd w:val="clear" w:color="auto" w:fill="auto"/>
            <w:tcMar>
              <w:top w:w="80" w:type="dxa"/>
              <w:left w:w="80" w:type="dxa"/>
              <w:bottom w:w="80" w:type="dxa"/>
              <w:right w:w="80" w:type="dxa"/>
            </w:tcMar>
          </w:tcPr>
          <w:p w:rsidR="00AC5D1D" w:rsidRDefault="00AC5D1D"/>
        </w:tc>
      </w:tr>
      <w:tr w:rsidR="00AC5D1D">
        <w:tblPrEx>
          <w:shd w:val="clear" w:color="auto" w:fill="auto"/>
        </w:tblPrEx>
        <w:trPr>
          <w:trHeight w:val="249"/>
        </w:trPr>
        <w:tc>
          <w:tcPr>
            <w:tcW w:w="458" w:type="dxa"/>
            <w:tcBorders>
              <w:top w:val="dotted" w:sz="6" w:space="0" w:color="C8C8C8"/>
              <w:left w:val="nil"/>
              <w:bottom w:val="dotted" w:sz="6" w:space="0" w:color="C8C8C8"/>
              <w:right w:val="nil"/>
            </w:tcBorders>
            <w:shd w:val="clear" w:color="auto" w:fill="auto"/>
            <w:tcMar>
              <w:top w:w="80" w:type="dxa"/>
              <w:left w:w="80" w:type="dxa"/>
              <w:bottom w:w="80" w:type="dxa"/>
              <w:right w:w="80" w:type="dxa"/>
            </w:tcMar>
          </w:tcPr>
          <w:p w:rsidR="00AC5D1D" w:rsidRDefault="00575AFA">
            <w:pPr>
              <w:tabs>
                <w:tab w:val="right" w:pos="1267"/>
                <w:tab w:val="right" w:pos="1333"/>
              </w:tabs>
              <w:jc w:val="right"/>
            </w:pPr>
            <w:r>
              <w:rPr>
                <w:rFonts w:ascii="Helvetica Neue Light" w:hAnsi="Helvetica Neue Light" w:cs="Arial Unicode MS"/>
                <w:color w:val="000000"/>
                <w:sz w:val="20"/>
                <w:szCs w:val="20"/>
              </w:rPr>
              <w:t>9</w:t>
            </w:r>
          </w:p>
        </w:tc>
        <w:tc>
          <w:tcPr>
            <w:tcW w:w="5179" w:type="dxa"/>
            <w:tcBorders>
              <w:top w:val="dotted" w:sz="6" w:space="0" w:color="C8C8C8"/>
              <w:left w:val="nil"/>
              <w:bottom w:val="dotted" w:sz="6" w:space="0" w:color="C8C8C8"/>
              <w:right w:val="dotted" w:sz="6" w:space="0" w:color="C8C8C8"/>
            </w:tcBorders>
            <w:shd w:val="clear" w:color="auto" w:fill="auto"/>
            <w:tcMar>
              <w:top w:w="80" w:type="dxa"/>
              <w:left w:w="80" w:type="dxa"/>
              <w:bottom w:w="80" w:type="dxa"/>
              <w:right w:w="80" w:type="dxa"/>
            </w:tcMar>
          </w:tcPr>
          <w:p w:rsidR="00AC5D1D" w:rsidRDefault="00AC5D1D"/>
        </w:tc>
        <w:tc>
          <w:tcPr>
            <w:tcW w:w="3854" w:type="dxa"/>
            <w:tcBorders>
              <w:top w:val="dotted" w:sz="6" w:space="0" w:color="C8C8C8"/>
              <w:left w:val="dotted" w:sz="6" w:space="0" w:color="C8C8C8"/>
              <w:bottom w:val="dotted" w:sz="6" w:space="0" w:color="C8C8C8"/>
              <w:right w:val="dotted" w:sz="6" w:space="0" w:color="C8C8C8"/>
            </w:tcBorders>
            <w:shd w:val="clear" w:color="auto" w:fill="auto"/>
            <w:tcMar>
              <w:top w:w="80" w:type="dxa"/>
              <w:left w:w="80" w:type="dxa"/>
              <w:bottom w:w="80" w:type="dxa"/>
              <w:right w:w="80" w:type="dxa"/>
            </w:tcMar>
          </w:tcPr>
          <w:p w:rsidR="00AC5D1D" w:rsidRDefault="00AC5D1D"/>
        </w:tc>
      </w:tr>
      <w:tr w:rsidR="00AC5D1D">
        <w:tblPrEx>
          <w:shd w:val="clear" w:color="auto" w:fill="auto"/>
        </w:tblPrEx>
        <w:trPr>
          <w:trHeight w:val="249"/>
        </w:trPr>
        <w:tc>
          <w:tcPr>
            <w:tcW w:w="458" w:type="dxa"/>
            <w:tcBorders>
              <w:top w:val="dotted" w:sz="6" w:space="0" w:color="C8C8C8"/>
              <w:left w:val="nil"/>
              <w:bottom w:val="dotted" w:sz="6" w:space="0" w:color="C8C8C8"/>
              <w:right w:val="nil"/>
            </w:tcBorders>
            <w:shd w:val="clear" w:color="auto" w:fill="auto"/>
            <w:tcMar>
              <w:top w:w="80" w:type="dxa"/>
              <w:left w:w="80" w:type="dxa"/>
              <w:bottom w:w="80" w:type="dxa"/>
              <w:right w:w="80" w:type="dxa"/>
            </w:tcMar>
          </w:tcPr>
          <w:p w:rsidR="00AC5D1D" w:rsidRDefault="00575AFA">
            <w:pPr>
              <w:tabs>
                <w:tab w:val="right" w:pos="1267"/>
                <w:tab w:val="right" w:pos="1333"/>
              </w:tabs>
              <w:jc w:val="right"/>
            </w:pPr>
            <w:r>
              <w:rPr>
                <w:rFonts w:ascii="Helvetica Neue Light" w:hAnsi="Helvetica Neue Light" w:cs="Arial Unicode MS"/>
                <w:color w:val="000000"/>
                <w:sz w:val="20"/>
                <w:szCs w:val="20"/>
              </w:rPr>
              <w:t>10</w:t>
            </w:r>
          </w:p>
        </w:tc>
        <w:tc>
          <w:tcPr>
            <w:tcW w:w="5179" w:type="dxa"/>
            <w:tcBorders>
              <w:top w:val="dotted" w:sz="6" w:space="0" w:color="C8C8C8"/>
              <w:left w:val="nil"/>
              <w:bottom w:val="dotted" w:sz="6" w:space="0" w:color="C8C8C8"/>
              <w:right w:val="dotted" w:sz="6" w:space="0" w:color="C8C8C8"/>
            </w:tcBorders>
            <w:shd w:val="clear" w:color="auto" w:fill="auto"/>
            <w:tcMar>
              <w:top w:w="80" w:type="dxa"/>
              <w:left w:w="80" w:type="dxa"/>
              <w:bottom w:w="80" w:type="dxa"/>
              <w:right w:w="80" w:type="dxa"/>
            </w:tcMar>
          </w:tcPr>
          <w:p w:rsidR="00AC5D1D" w:rsidRDefault="00AC5D1D"/>
        </w:tc>
        <w:tc>
          <w:tcPr>
            <w:tcW w:w="3854" w:type="dxa"/>
            <w:tcBorders>
              <w:top w:val="dotted" w:sz="6" w:space="0" w:color="C8C8C8"/>
              <w:left w:val="dotted" w:sz="6" w:space="0" w:color="C8C8C8"/>
              <w:bottom w:val="dotted" w:sz="6" w:space="0" w:color="C8C8C8"/>
              <w:right w:val="dotted" w:sz="6" w:space="0" w:color="C8C8C8"/>
            </w:tcBorders>
            <w:shd w:val="clear" w:color="auto" w:fill="auto"/>
            <w:tcMar>
              <w:top w:w="80" w:type="dxa"/>
              <w:left w:w="80" w:type="dxa"/>
              <w:bottom w:w="80" w:type="dxa"/>
              <w:right w:w="80" w:type="dxa"/>
            </w:tcMar>
          </w:tcPr>
          <w:p w:rsidR="00AC5D1D" w:rsidRDefault="00AC5D1D"/>
        </w:tc>
      </w:tr>
      <w:tr w:rsidR="00AC5D1D">
        <w:tblPrEx>
          <w:shd w:val="clear" w:color="auto" w:fill="auto"/>
        </w:tblPrEx>
        <w:trPr>
          <w:trHeight w:val="249"/>
        </w:trPr>
        <w:tc>
          <w:tcPr>
            <w:tcW w:w="458" w:type="dxa"/>
            <w:tcBorders>
              <w:top w:val="dotted" w:sz="6" w:space="0" w:color="C8C8C8"/>
              <w:left w:val="nil"/>
              <w:bottom w:val="dotted" w:sz="6" w:space="0" w:color="C8C8C8"/>
              <w:right w:val="nil"/>
            </w:tcBorders>
            <w:shd w:val="clear" w:color="auto" w:fill="auto"/>
            <w:tcMar>
              <w:top w:w="80" w:type="dxa"/>
              <w:left w:w="80" w:type="dxa"/>
              <w:bottom w:w="80" w:type="dxa"/>
              <w:right w:w="80" w:type="dxa"/>
            </w:tcMar>
          </w:tcPr>
          <w:p w:rsidR="00AC5D1D" w:rsidRDefault="00575AFA">
            <w:pPr>
              <w:tabs>
                <w:tab w:val="right" w:pos="1267"/>
                <w:tab w:val="right" w:pos="1333"/>
              </w:tabs>
              <w:jc w:val="right"/>
            </w:pPr>
            <w:r>
              <w:rPr>
                <w:rFonts w:ascii="Helvetica Neue Light" w:hAnsi="Helvetica Neue Light" w:cs="Arial Unicode MS"/>
                <w:color w:val="000000"/>
                <w:sz w:val="20"/>
                <w:szCs w:val="20"/>
              </w:rPr>
              <w:t>11</w:t>
            </w:r>
          </w:p>
        </w:tc>
        <w:tc>
          <w:tcPr>
            <w:tcW w:w="5179" w:type="dxa"/>
            <w:tcBorders>
              <w:top w:val="dotted" w:sz="6" w:space="0" w:color="C8C8C8"/>
              <w:left w:val="nil"/>
              <w:bottom w:val="dotted" w:sz="6" w:space="0" w:color="C8C8C8"/>
              <w:right w:val="dotted" w:sz="6" w:space="0" w:color="C8C8C8"/>
            </w:tcBorders>
            <w:shd w:val="clear" w:color="auto" w:fill="auto"/>
            <w:tcMar>
              <w:top w:w="80" w:type="dxa"/>
              <w:left w:w="80" w:type="dxa"/>
              <w:bottom w:w="80" w:type="dxa"/>
              <w:right w:w="80" w:type="dxa"/>
            </w:tcMar>
          </w:tcPr>
          <w:p w:rsidR="00AC5D1D" w:rsidRDefault="00AC5D1D"/>
        </w:tc>
        <w:tc>
          <w:tcPr>
            <w:tcW w:w="3854" w:type="dxa"/>
            <w:tcBorders>
              <w:top w:val="dotted" w:sz="6" w:space="0" w:color="C8C8C8"/>
              <w:left w:val="dotted" w:sz="6" w:space="0" w:color="C8C8C8"/>
              <w:bottom w:val="dotted" w:sz="6" w:space="0" w:color="C8C8C8"/>
              <w:right w:val="dotted" w:sz="6" w:space="0" w:color="C8C8C8"/>
            </w:tcBorders>
            <w:shd w:val="clear" w:color="auto" w:fill="auto"/>
            <w:tcMar>
              <w:top w:w="80" w:type="dxa"/>
              <w:left w:w="80" w:type="dxa"/>
              <w:bottom w:w="80" w:type="dxa"/>
              <w:right w:w="80" w:type="dxa"/>
            </w:tcMar>
          </w:tcPr>
          <w:p w:rsidR="00AC5D1D" w:rsidRDefault="00AC5D1D"/>
        </w:tc>
      </w:tr>
      <w:tr w:rsidR="00AC5D1D">
        <w:tblPrEx>
          <w:shd w:val="clear" w:color="auto" w:fill="auto"/>
        </w:tblPrEx>
        <w:trPr>
          <w:trHeight w:val="249"/>
        </w:trPr>
        <w:tc>
          <w:tcPr>
            <w:tcW w:w="458" w:type="dxa"/>
            <w:tcBorders>
              <w:top w:val="dotted" w:sz="6" w:space="0" w:color="C8C8C8"/>
              <w:left w:val="nil"/>
              <w:bottom w:val="dotted" w:sz="6" w:space="0" w:color="C8C8C8"/>
              <w:right w:val="nil"/>
            </w:tcBorders>
            <w:shd w:val="clear" w:color="auto" w:fill="auto"/>
            <w:tcMar>
              <w:top w:w="80" w:type="dxa"/>
              <w:left w:w="80" w:type="dxa"/>
              <w:bottom w:w="80" w:type="dxa"/>
              <w:right w:w="80" w:type="dxa"/>
            </w:tcMar>
          </w:tcPr>
          <w:p w:rsidR="00AC5D1D" w:rsidRDefault="00575AFA">
            <w:pPr>
              <w:tabs>
                <w:tab w:val="right" w:pos="1267"/>
                <w:tab w:val="right" w:pos="1333"/>
              </w:tabs>
              <w:jc w:val="right"/>
            </w:pPr>
            <w:r>
              <w:rPr>
                <w:rFonts w:ascii="Helvetica Neue Light" w:hAnsi="Helvetica Neue Light" w:cs="Arial Unicode MS"/>
                <w:color w:val="000000"/>
                <w:sz w:val="20"/>
                <w:szCs w:val="20"/>
              </w:rPr>
              <w:t>12</w:t>
            </w:r>
          </w:p>
        </w:tc>
        <w:tc>
          <w:tcPr>
            <w:tcW w:w="5179" w:type="dxa"/>
            <w:tcBorders>
              <w:top w:val="dotted" w:sz="6" w:space="0" w:color="C8C8C8"/>
              <w:left w:val="nil"/>
              <w:bottom w:val="dotted" w:sz="6" w:space="0" w:color="C8C8C8"/>
              <w:right w:val="dotted" w:sz="6" w:space="0" w:color="C8C8C8"/>
            </w:tcBorders>
            <w:shd w:val="clear" w:color="auto" w:fill="auto"/>
            <w:tcMar>
              <w:top w:w="80" w:type="dxa"/>
              <w:left w:w="80" w:type="dxa"/>
              <w:bottom w:w="80" w:type="dxa"/>
              <w:right w:w="80" w:type="dxa"/>
            </w:tcMar>
          </w:tcPr>
          <w:p w:rsidR="00AC5D1D" w:rsidRDefault="00AC5D1D"/>
        </w:tc>
        <w:tc>
          <w:tcPr>
            <w:tcW w:w="3854" w:type="dxa"/>
            <w:tcBorders>
              <w:top w:val="dotted" w:sz="6" w:space="0" w:color="C8C8C8"/>
              <w:left w:val="dotted" w:sz="6" w:space="0" w:color="C8C8C8"/>
              <w:bottom w:val="dotted" w:sz="6" w:space="0" w:color="C8C8C8"/>
              <w:right w:val="dotted" w:sz="6" w:space="0" w:color="C8C8C8"/>
            </w:tcBorders>
            <w:shd w:val="clear" w:color="auto" w:fill="auto"/>
            <w:tcMar>
              <w:top w:w="80" w:type="dxa"/>
              <w:left w:w="80" w:type="dxa"/>
              <w:bottom w:w="80" w:type="dxa"/>
              <w:right w:w="80" w:type="dxa"/>
            </w:tcMar>
          </w:tcPr>
          <w:p w:rsidR="00AC5D1D" w:rsidRDefault="00AC5D1D"/>
        </w:tc>
      </w:tr>
      <w:tr w:rsidR="00AC5D1D">
        <w:tblPrEx>
          <w:shd w:val="clear" w:color="auto" w:fill="auto"/>
        </w:tblPrEx>
        <w:trPr>
          <w:trHeight w:val="249"/>
        </w:trPr>
        <w:tc>
          <w:tcPr>
            <w:tcW w:w="458" w:type="dxa"/>
            <w:tcBorders>
              <w:top w:val="dotted" w:sz="6" w:space="0" w:color="C8C8C8"/>
              <w:left w:val="nil"/>
              <w:bottom w:val="dotted" w:sz="6" w:space="0" w:color="C8C8C8"/>
              <w:right w:val="nil"/>
            </w:tcBorders>
            <w:shd w:val="clear" w:color="auto" w:fill="auto"/>
            <w:tcMar>
              <w:top w:w="80" w:type="dxa"/>
              <w:left w:w="80" w:type="dxa"/>
              <w:bottom w:w="80" w:type="dxa"/>
              <w:right w:w="80" w:type="dxa"/>
            </w:tcMar>
          </w:tcPr>
          <w:p w:rsidR="00AC5D1D" w:rsidRDefault="00575AFA">
            <w:pPr>
              <w:tabs>
                <w:tab w:val="right" w:pos="1267"/>
                <w:tab w:val="right" w:pos="1333"/>
              </w:tabs>
              <w:jc w:val="right"/>
            </w:pPr>
            <w:r>
              <w:rPr>
                <w:rFonts w:ascii="Helvetica Neue Light" w:hAnsi="Helvetica Neue Light" w:cs="Arial Unicode MS"/>
                <w:color w:val="000000"/>
                <w:sz w:val="20"/>
                <w:szCs w:val="20"/>
              </w:rPr>
              <w:t>13</w:t>
            </w:r>
          </w:p>
        </w:tc>
        <w:tc>
          <w:tcPr>
            <w:tcW w:w="5179" w:type="dxa"/>
            <w:tcBorders>
              <w:top w:val="dotted" w:sz="6" w:space="0" w:color="C8C8C8"/>
              <w:left w:val="nil"/>
              <w:bottom w:val="dotted" w:sz="6" w:space="0" w:color="C8C8C8"/>
              <w:right w:val="dotted" w:sz="6" w:space="0" w:color="C8C8C8"/>
            </w:tcBorders>
            <w:shd w:val="clear" w:color="auto" w:fill="auto"/>
            <w:tcMar>
              <w:top w:w="80" w:type="dxa"/>
              <w:left w:w="80" w:type="dxa"/>
              <w:bottom w:w="80" w:type="dxa"/>
              <w:right w:w="80" w:type="dxa"/>
            </w:tcMar>
          </w:tcPr>
          <w:p w:rsidR="00AC5D1D" w:rsidRDefault="00AC5D1D"/>
        </w:tc>
        <w:tc>
          <w:tcPr>
            <w:tcW w:w="3854" w:type="dxa"/>
            <w:tcBorders>
              <w:top w:val="dotted" w:sz="6" w:space="0" w:color="C8C8C8"/>
              <w:left w:val="dotted" w:sz="6" w:space="0" w:color="C8C8C8"/>
              <w:bottom w:val="dotted" w:sz="6" w:space="0" w:color="C8C8C8"/>
              <w:right w:val="dotted" w:sz="6" w:space="0" w:color="C8C8C8"/>
            </w:tcBorders>
            <w:shd w:val="clear" w:color="auto" w:fill="auto"/>
            <w:tcMar>
              <w:top w:w="80" w:type="dxa"/>
              <w:left w:w="80" w:type="dxa"/>
              <w:bottom w:w="80" w:type="dxa"/>
              <w:right w:w="80" w:type="dxa"/>
            </w:tcMar>
          </w:tcPr>
          <w:p w:rsidR="00AC5D1D" w:rsidRDefault="00AC5D1D"/>
        </w:tc>
      </w:tr>
      <w:tr w:rsidR="00AC5D1D">
        <w:tblPrEx>
          <w:shd w:val="clear" w:color="auto" w:fill="auto"/>
        </w:tblPrEx>
        <w:trPr>
          <w:trHeight w:val="249"/>
        </w:trPr>
        <w:tc>
          <w:tcPr>
            <w:tcW w:w="458" w:type="dxa"/>
            <w:tcBorders>
              <w:top w:val="dotted" w:sz="6" w:space="0" w:color="C8C8C8"/>
              <w:left w:val="nil"/>
              <w:bottom w:val="dotted" w:sz="6" w:space="0" w:color="C8C8C8"/>
              <w:right w:val="nil"/>
            </w:tcBorders>
            <w:shd w:val="clear" w:color="auto" w:fill="auto"/>
            <w:tcMar>
              <w:top w:w="80" w:type="dxa"/>
              <w:left w:w="80" w:type="dxa"/>
              <w:bottom w:w="80" w:type="dxa"/>
              <w:right w:w="80" w:type="dxa"/>
            </w:tcMar>
          </w:tcPr>
          <w:p w:rsidR="00AC5D1D" w:rsidRDefault="00575AFA">
            <w:pPr>
              <w:tabs>
                <w:tab w:val="right" w:pos="1267"/>
                <w:tab w:val="right" w:pos="1333"/>
              </w:tabs>
              <w:jc w:val="right"/>
            </w:pPr>
            <w:r>
              <w:rPr>
                <w:rFonts w:ascii="Helvetica Neue Light" w:hAnsi="Helvetica Neue Light" w:cs="Arial Unicode MS"/>
                <w:color w:val="000000"/>
                <w:sz w:val="20"/>
                <w:szCs w:val="20"/>
              </w:rPr>
              <w:t>14</w:t>
            </w:r>
          </w:p>
        </w:tc>
        <w:tc>
          <w:tcPr>
            <w:tcW w:w="5179" w:type="dxa"/>
            <w:tcBorders>
              <w:top w:val="dotted" w:sz="6" w:space="0" w:color="C8C8C8"/>
              <w:left w:val="nil"/>
              <w:bottom w:val="dotted" w:sz="6" w:space="0" w:color="C8C8C8"/>
              <w:right w:val="dotted" w:sz="6" w:space="0" w:color="C8C8C8"/>
            </w:tcBorders>
            <w:shd w:val="clear" w:color="auto" w:fill="auto"/>
            <w:tcMar>
              <w:top w:w="80" w:type="dxa"/>
              <w:left w:w="80" w:type="dxa"/>
              <w:bottom w:w="80" w:type="dxa"/>
              <w:right w:w="80" w:type="dxa"/>
            </w:tcMar>
          </w:tcPr>
          <w:p w:rsidR="00AC5D1D" w:rsidRDefault="00AC5D1D"/>
        </w:tc>
        <w:tc>
          <w:tcPr>
            <w:tcW w:w="3854" w:type="dxa"/>
            <w:tcBorders>
              <w:top w:val="dotted" w:sz="6" w:space="0" w:color="C8C8C8"/>
              <w:left w:val="dotted" w:sz="6" w:space="0" w:color="C8C8C8"/>
              <w:bottom w:val="dotted" w:sz="6" w:space="0" w:color="C8C8C8"/>
              <w:right w:val="dotted" w:sz="6" w:space="0" w:color="C8C8C8"/>
            </w:tcBorders>
            <w:shd w:val="clear" w:color="auto" w:fill="auto"/>
            <w:tcMar>
              <w:top w:w="80" w:type="dxa"/>
              <w:left w:w="80" w:type="dxa"/>
              <w:bottom w:w="80" w:type="dxa"/>
              <w:right w:w="80" w:type="dxa"/>
            </w:tcMar>
          </w:tcPr>
          <w:p w:rsidR="00AC5D1D" w:rsidRDefault="00AC5D1D"/>
        </w:tc>
      </w:tr>
      <w:tr w:rsidR="00AC5D1D">
        <w:tblPrEx>
          <w:shd w:val="clear" w:color="auto" w:fill="auto"/>
        </w:tblPrEx>
        <w:trPr>
          <w:trHeight w:val="249"/>
        </w:trPr>
        <w:tc>
          <w:tcPr>
            <w:tcW w:w="458" w:type="dxa"/>
            <w:tcBorders>
              <w:top w:val="dotted" w:sz="6" w:space="0" w:color="C8C8C8"/>
              <w:left w:val="nil"/>
              <w:bottom w:val="dotted" w:sz="6" w:space="0" w:color="C8C8C8"/>
              <w:right w:val="nil"/>
            </w:tcBorders>
            <w:shd w:val="clear" w:color="auto" w:fill="auto"/>
            <w:tcMar>
              <w:top w:w="80" w:type="dxa"/>
              <w:left w:w="80" w:type="dxa"/>
              <w:bottom w:w="80" w:type="dxa"/>
              <w:right w:w="80" w:type="dxa"/>
            </w:tcMar>
          </w:tcPr>
          <w:p w:rsidR="00AC5D1D" w:rsidRDefault="00575AFA">
            <w:pPr>
              <w:tabs>
                <w:tab w:val="right" w:pos="1267"/>
                <w:tab w:val="right" w:pos="1333"/>
              </w:tabs>
              <w:jc w:val="right"/>
            </w:pPr>
            <w:r>
              <w:rPr>
                <w:rFonts w:ascii="Helvetica Neue Light" w:hAnsi="Helvetica Neue Light" w:cs="Arial Unicode MS"/>
                <w:color w:val="000000"/>
                <w:sz w:val="20"/>
                <w:szCs w:val="20"/>
              </w:rPr>
              <w:t>15</w:t>
            </w:r>
          </w:p>
        </w:tc>
        <w:tc>
          <w:tcPr>
            <w:tcW w:w="5179" w:type="dxa"/>
            <w:tcBorders>
              <w:top w:val="dotted" w:sz="6" w:space="0" w:color="C8C8C8"/>
              <w:left w:val="nil"/>
              <w:bottom w:val="dotted" w:sz="6" w:space="0" w:color="C8C8C8"/>
              <w:right w:val="dotted" w:sz="6" w:space="0" w:color="C8C8C8"/>
            </w:tcBorders>
            <w:shd w:val="clear" w:color="auto" w:fill="auto"/>
            <w:tcMar>
              <w:top w:w="80" w:type="dxa"/>
              <w:left w:w="80" w:type="dxa"/>
              <w:bottom w:w="80" w:type="dxa"/>
              <w:right w:w="80" w:type="dxa"/>
            </w:tcMar>
          </w:tcPr>
          <w:p w:rsidR="00AC5D1D" w:rsidRDefault="00AC5D1D"/>
        </w:tc>
        <w:tc>
          <w:tcPr>
            <w:tcW w:w="3854" w:type="dxa"/>
            <w:tcBorders>
              <w:top w:val="dotted" w:sz="6" w:space="0" w:color="C8C8C8"/>
              <w:left w:val="dotted" w:sz="6" w:space="0" w:color="C8C8C8"/>
              <w:bottom w:val="dotted" w:sz="6" w:space="0" w:color="C8C8C8"/>
              <w:right w:val="dotted" w:sz="6" w:space="0" w:color="C8C8C8"/>
            </w:tcBorders>
            <w:shd w:val="clear" w:color="auto" w:fill="auto"/>
            <w:tcMar>
              <w:top w:w="80" w:type="dxa"/>
              <w:left w:w="80" w:type="dxa"/>
              <w:bottom w:w="80" w:type="dxa"/>
              <w:right w:w="80" w:type="dxa"/>
            </w:tcMar>
          </w:tcPr>
          <w:p w:rsidR="00AC5D1D" w:rsidRDefault="00AC5D1D"/>
        </w:tc>
      </w:tr>
      <w:tr w:rsidR="00AC5D1D">
        <w:tblPrEx>
          <w:shd w:val="clear" w:color="auto" w:fill="auto"/>
        </w:tblPrEx>
        <w:trPr>
          <w:trHeight w:val="249"/>
        </w:trPr>
        <w:tc>
          <w:tcPr>
            <w:tcW w:w="458" w:type="dxa"/>
            <w:tcBorders>
              <w:top w:val="dotted" w:sz="6" w:space="0" w:color="C8C8C8"/>
              <w:left w:val="nil"/>
              <w:bottom w:val="dotted" w:sz="6" w:space="0" w:color="C8C8C8"/>
              <w:right w:val="nil"/>
            </w:tcBorders>
            <w:shd w:val="clear" w:color="auto" w:fill="auto"/>
            <w:tcMar>
              <w:top w:w="80" w:type="dxa"/>
              <w:left w:w="80" w:type="dxa"/>
              <w:bottom w:w="80" w:type="dxa"/>
              <w:right w:w="80" w:type="dxa"/>
            </w:tcMar>
          </w:tcPr>
          <w:p w:rsidR="00AC5D1D" w:rsidRDefault="00575AFA">
            <w:pPr>
              <w:tabs>
                <w:tab w:val="right" w:pos="1267"/>
                <w:tab w:val="right" w:pos="1333"/>
              </w:tabs>
              <w:jc w:val="right"/>
            </w:pPr>
            <w:r>
              <w:rPr>
                <w:rFonts w:ascii="Helvetica Neue Light" w:hAnsi="Helvetica Neue Light" w:cs="Arial Unicode MS"/>
                <w:color w:val="000000"/>
                <w:sz w:val="20"/>
                <w:szCs w:val="20"/>
              </w:rPr>
              <w:t>16</w:t>
            </w:r>
          </w:p>
        </w:tc>
        <w:tc>
          <w:tcPr>
            <w:tcW w:w="5179" w:type="dxa"/>
            <w:tcBorders>
              <w:top w:val="dotted" w:sz="6" w:space="0" w:color="C8C8C8"/>
              <w:left w:val="nil"/>
              <w:bottom w:val="dotted" w:sz="6" w:space="0" w:color="C8C8C8"/>
              <w:right w:val="dotted" w:sz="6" w:space="0" w:color="C8C8C8"/>
            </w:tcBorders>
            <w:shd w:val="clear" w:color="auto" w:fill="auto"/>
            <w:tcMar>
              <w:top w:w="80" w:type="dxa"/>
              <w:left w:w="80" w:type="dxa"/>
              <w:bottom w:w="80" w:type="dxa"/>
              <w:right w:w="80" w:type="dxa"/>
            </w:tcMar>
          </w:tcPr>
          <w:p w:rsidR="00AC5D1D" w:rsidRDefault="00AC5D1D"/>
        </w:tc>
        <w:tc>
          <w:tcPr>
            <w:tcW w:w="3854" w:type="dxa"/>
            <w:tcBorders>
              <w:top w:val="dotted" w:sz="6" w:space="0" w:color="C8C8C8"/>
              <w:left w:val="dotted" w:sz="6" w:space="0" w:color="C8C8C8"/>
              <w:bottom w:val="dotted" w:sz="6" w:space="0" w:color="C8C8C8"/>
              <w:right w:val="dotted" w:sz="6" w:space="0" w:color="C8C8C8"/>
            </w:tcBorders>
            <w:shd w:val="clear" w:color="auto" w:fill="auto"/>
            <w:tcMar>
              <w:top w:w="80" w:type="dxa"/>
              <w:left w:w="80" w:type="dxa"/>
              <w:bottom w:w="80" w:type="dxa"/>
              <w:right w:w="80" w:type="dxa"/>
            </w:tcMar>
          </w:tcPr>
          <w:p w:rsidR="00AC5D1D" w:rsidRDefault="00AC5D1D"/>
        </w:tc>
      </w:tr>
      <w:tr w:rsidR="00AC5D1D">
        <w:tblPrEx>
          <w:shd w:val="clear" w:color="auto" w:fill="auto"/>
        </w:tblPrEx>
        <w:trPr>
          <w:trHeight w:val="249"/>
        </w:trPr>
        <w:tc>
          <w:tcPr>
            <w:tcW w:w="458" w:type="dxa"/>
            <w:tcBorders>
              <w:top w:val="dotted" w:sz="6" w:space="0" w:color="C8C8C8"/>
              <w:left w:val="nil"/>
              <w:bottom w:val="dotted" w:sz="6" w:space="0" w:color="C8C8C8"/>
              <w:right w:val="nil"/>
            </w:tcBorders>
            <w:shd w:val="clear" w:color="auto" w:fill="auto"/>
            <w:tcMar>
              <w:top w:w="80" w:type="dxa"/>
              <w:left w:w="80" w:type="dxa"/>
              <w:bottom w:w="80" w:type="dxa"/>
              <w:right w:w="80" w:type="dxa"/>
            </w:tcMar>
          </w:tcPr>
          <w:p w:rsidR="00AC5D1D" w:rsidRDefault="00575AFA">
            <w:pPr>
              <w:tabs>
                <w:tab w:val="right" w:pos="1267"/>
                <w:tab w:val="right" w:pos="1333"/>
              </w:tabs>
              <w:jc w:val="right"/>
            </w:pPr>
            <w:r>
              <w:rPr>
                <w:rFonts w:ascii="Helvetica Neue Light" w:hAnsi="Helvetica Neue Light" w:cs="Arial Unicode MS"/>
                <w:color w:val="000000"/>
                <w:sz w:val="20"/>
                <w:szCs w:val="20"/>
              </w:rPr>
              <w:t>17</w:t>
            </w:r>
          </w:p>
        </w:tc>
        <w:tc>
          <w:tcPr>
            <w:tcW w:w="5179" w:type="dxa"/>
            <w:tcBorders>
              <w:top w:val="dotted" w:sz="6" w:space="0" w:color="C8C8C8"/>
              <w:left w:val="nil"/>
              <w:bottom w:val="dotted" w:sz="6" w:space="0" w:color="C8C8C8"/>
              <w:right w:val="dotted" w:sz="6" w:space="0" w:color="C8C8C8"/>
            </w:tcBorders>
            <w:shd w:val="clear" w:color="auto" w:fill="auto"/>
            <w:tcMar>
              <w:top w:w="80" w:type="dxa"/>
              <w:left w:w="80" w:type="dxa"/>
              <w:bottom w:w="80" w:type="dxa"/>
              <w:right w:w="80" w:type="dxa"/>
            </w:tcMar>
          </w:tcPr>
          <w:p w:rsidR="00AC5D1D" w:rsidRDefault="00AC5D1D"/>
        </w:tc>
        <w:tc>
          <w:tcPr>
            <w:tcW w:w="3854" w:type="dxa"/>
            <w:tcBorders>
              <w:top w:val="dotted" w:sz="6" w:space="0" w:color="C8C8C8"/>
              <w:left w:val="dotted" w:sz="6" w:space="0" w:color="C8C8C8"/>
              <w:bottom w:val="dotted" w:sz="6" w:space="0" w:color="C8C8C8"/>
              <w:right w:val="dotted" w:sz="6" w:space="0" w:color="C8C8C8"/>
            </w:tcBorders>
            <w:shd w:val="clear" w:color="auto" w:fill="auto"/>
            <w:tcMar>
              <w:top w:w="80" w:type="dxa"/>
              <w:left w:w="80" w:type="dxa"/>
              <w:bottom w:w="80" w:type="dxa"/>
              <w:right w:w="80" w:type="dxa"/>
            </w:tcMar>
          </w:tcPr>
          <w:p w:rsidR="00AC5D1D" w:rsidRDefault="00AC5D1D"/>
        </w:tc>
      </w:tr>
      <w:tr w:rsidR="00AC5D1D">
        <w:tblPrEx>
          <w:shd w:val="clear" w:color="auto" w:fill="auto"/>
        </w:tblPrEx>
        <w:trPr>
          <w:trHeight w:val="249"/>
        </w:trPr>
        <w:tc>
          <w:tcPr>
            <w:tcW w:w="458" w:type="dxa"/>
            <w:tcBorders>
              <w:top w:val="dotted" w:sz="6" w:space="0" w:color="C8C8C8"/>
              <w:left w:val="nil"/>
              <w:bottom w:val="dotted" w:sz="6" w:space="0" w:color="C8C8C8"/>
              <w:right w:val="nil"/>
            </w:tcBorders>
            <w:shd w:val="clear" w:color="auto" w:fill="auto"/>
            <w:tcMar>
              <w:top w:w="80" w:type="dxa"/>
              <w:left w:w="80" w:type="dxa"/>
              <w:bottom w:w="80" w:type="dxa"/>
              <w:right w:w="80" w:type="dxa"/>
            </w:tcMar>
          </w:tcPr>
          <w:p w:rsidR="00AC5D1D" w:rsidRDefault="00575AFA">
            <w:pPr>
              <w:tabs>
                <w:tab w:val="right" w:pos="1267"/>
                <w:tab w:val="right" w:pos="1333"/>
              </w:tabs>
              <w:jc w:val="right"/>
            </w:pPr>
            <w:r>
              <w:rPr>
                <w:rFonts w:ascii="Helvetica Neue Light" w:hAnsi="Helvetica Neue Light" w:cs="Arial Unicode MS"/>
                <w:color w:val="000000"/>
                <w:sz w:val="20"/>
                <w:szCs w:val="20"/>
              </w:rPr>
              <w:t>18</w:t>
            </w:r>
          </w:p>
        </w:tc>
        <w:tc>
          <w:tcPr>
            <w:tcW w:w="5179" w:type="dxa"/>
            <w:tcBorders>
              <w:top w:val="dotted" w:sz="6" w:space="0" w:color="C8C8C8"/>
              <w:left w:val="nil"/>
              <w:bottom w:val="dotted" w:sz="6" w:space="0" w:color="C8C8C8"/>
              <w:right w:val="dotted" w:sz="6" w:space="0" w:color="C8C8C8"/>
            </w:tcBorders>
            <w:shd w:val="clear" w:color="auto" w:fill="auto"/>
            <w:tcMar>
              <w:top w:w="80" w:type="dxa"/>
              <w:left w:w="80" w:type="dxa"/>
              <w:bottom w:w="80" w:type="dxa"/>
              <w:right w:w="80" w:type="dxa"/>
            </w:tcMar>
          </w:tcPr>
          <w:p w:rsidR="00AC5D1D" w:rsidRDefault="00AC5D1D"/>
        </w:tc>
        <w:tc>
          <w:tcPr>
            <w:tcW w:w="3854" w:type="dxa"/>
            <w:tcBorders>
              <w:top w:val="dotted" w:sz="6" w:space="0" w:color="C8C8C8"/>
              <w:left w:val="dotted" w:sz="6" w:space="0" w:color="C8C8C8"/>
              <w:bottom w:val="dotted" w:sz="6" w:space="0" w:color="C8C8C8"/>
              <w:right w:val="dotted" w:sz="6" w:space="0" w:color="C8C8C8"/>
            </w:tcBorders>
            <w:shd w:val="clear" w:color="auto" w:fill="auto"/>
            <w:tcMar>
              <w:top w:w="80" w:type="dxa"/>
              <w:left w:w="80" w:type="dxa"/>
              <w:bottom w:w="80" w:type="dxa"/>
              <w:right w:w="80" w:type="dxa"/>
            </w:tcMar>
          </w:tcPr>
          <w:p w:rsidR="00AC5D1D" w:rsidRDefault="00AC5D1D"/>
        </w:tc>
      </w:tr>
      <w:tr w:rsidR="00AC5D1D">
        <w:tblPrEx>
          <w:shd w:val="clear" w:color="auto" w:fill="auto"/>
        </w:tblPrEx>
        <w:trPr>
          <w:trHeight w:val="249"/>
        </w:trPr>
        <w:tc>
          <w:tcPr>
            <w:tcW w:w="458" w:type="dxa"/>
            <w:tcBorders>
              <w:top w:val="dotted" w:sz="6" w:space="0" w:color="C8C8C8"/>
              <w:left w:val="nil"/>
              <w:bottom w:val="dotted" w:sz="6" w:space="0" w:color="C8C8C8"/>
              <w:right w:val="nil"/>
            </w:tcBorders>
            <w:shd w:val="clear" w:color="auto" w:fill="auto"/>
            <w:tcMar>
              <w:top w:w="80" w:type="dxa"/>
              <w:left w:w="80" w:type="dxa"/>
              <w:bottom w:w="80" w:type="dxa"/>
              <w:right w:w="80" w:type="dxa"/>
            </w:tcMar>
          </w:tcPr>
          <w:p w:rsidR="00AC5D1D" w:rsidRDefault="00575AFA">
            <w:pPr>
              <w:tabs>
                <w:tab w:val="right" w:pos="1267"/>
                <w:tab w:val="right" w:pos="1333"/>
              </w:tabs>
              <w:jc w:val="right"/>
            </w:pPr>
            <w:r>
              <w:rPr>
                <w:rFonts w:ascii="Helvetica Neue Light" w:hAnsi="Helvetica Neue Light" w:cs="Arial Unicode MS"/>
                <w:color w:val="000000"/>
                <w:sz w:val="20"/>
                <w:szCs w:val="20"/>
              </w:rPr>
              <w:t>19</w:t>
            </w:r>
          </w:p>
        </w:tc>
        <w:tc>
          <w:tcPr>
            <w:tcW w:w="5179" w:type="dxa"/>
            <w:tcBorders>
              <w:top w:val="dotted" w:sz="6" w:space="0" w:color="C8C8C8"/>
              <w:left w:val="nil"/>
              <w:bottom w:val="dotted" w:sz="6" w:space="0" w:color="C8C8C8"/>
              <w:right w:val="dotted" w:sz="6" w:space="0" w:color="C8C8C8"/>
            </w:tcBorders>
            <w:shd w:val="clear" w:color="auto" w:fill="auto"/>
            <w:tcMar>
              <w:top w:w="80" w:type="dxa"/>
              <w:left w:w="80" w:type="dxa"/>
              <w:bottom w:w="80" w:type="dxa"/>
              <w:right w:w="80" w:type="dxa"/>
            </w:tcMar>
          </w:tcPr>
          <w:p w:rsidR="00AC5D1D" w:rsidRDefault="00AC5D1D"/>
        </w:tc>
        <w:tc>
          <w:tcPr>
            <w:tcW w:w="3854" w:type="dxa"/>
            <w:tcBorders>
              <w:top w:val="dotted" w:sz="6" w:space="0" w:color="C8C8C8"/>
              <w:left w:val="dotted" w:sz="6" w:space="0" w:color="C8C8C8"/>
              <w:bottom w:val="dotted" w:sz="6" w:space="0" w:color="C8C8C8"/>
              <w:right w:val="dotted" w:sz="6" w:space="0" w:color="C8C8C8"/>
            </w:tcBorders>
            <w:shd w:val="clear" w:color="auto" w:fill="auto"/>
            <w:tcMar>
              <w:top w:w="80" w:type="dxa"/>
              <w:left w:w="80" w:type="dxa"/>
              <w:bottom w:w="80" w:type="dxa"/>
              <w:right w:w="80" w:type="dxa"/>
            </w:tcMar>
          </w:tcPr>
          <w:p w:rsidR="00AC5D1D" w:rsidRDefault="00AC5D1D"/>
        </w:tc>
      </w:tr>
      <w:tr w:rsidR="00AC5D1D">
        <w:tblPrEx>
          <w:shd w:val="clear" w:color="auto" w:fill="auto"/>
        </w:tblPrEx>
        <w:trPr>
          <w:trHeight w:val="249"/>
        </w:trPr>
        <w:tc>
          <w:tcPr>
            <w:tcW w:w="458" w:type="dxa"/>
            <w:tcBorders>
              <w:top w:val="dotted" w:sz="6" w:space="0" w:color="C8C8C8"/>
              <w:left w:val="nil"/>
              <w:bottom w:val="single" w:sz="6" w:space="0" w:color="C8C8C8"/>
              <w:right w:val="nil"/>
            </w:tcBorders>
            <w:shd w:val="clear" w:color="auto" w:fill="auto"/>
            <w:tcMar>
              <w:top w:w="80" w:type="dxa"/>
              <w:left w:w="80" w:type="dxa"/>
              <w:bottom w:w="80" w:type="dxa"/>
              <w:right w:w="80" w:type="dxa"/>
            </w:tcMar>
          </w:tcPr>
          <w:p w:rsidR="00AC5D1D" w:rsidRDefault="00575AFA">
            <w:pPr>
              <w:tabs>
                <w:tab w:val="right" w:pos="1267"/>
                <w:tab w:val="right" w:pos="1333"/>
              </w:tabs>
              <w:jc w:val="right"/>
            </w:pPr>
            <w:r>
              <w:rPr>
                <w:rFonts w:ascii="Helvetica Neue Light" w:hAnsi="Helvetica Neue Light" w:cs="Arial Unicode MS"/>
                <w:color w:val="000000"/>
                <w:sz w:val="20"/>
                <w:szCs w:val="20"/>
              </w:rPr>
              <w:t>20</w:t>
            </w:r>
          </w:p>
        </w:tc>
        <w:tc>
          <w:tcPr>
            <w:tcW w:w="5179" w:type="dxa"/>
            <w:tcBorders>
              <w:top w:val="dotted" w:sz="6" w:space="0" w:color="C8C8C8"/>
              <w:left w:val="nil"/>
              <w:bottom w:val="single" w:sz="6" w:space="0" w:color="C8C8C8"/>
              <w:right w:val="dotted" w:sz="6" w:space="0" w:color="C8C8C8"/>
            </w:tcBorders>
            <w:shd w:val="clear" w:color="auto" w:fill="auto"/>
            <w:tcMar>
              <w:top w:w="80" w:type="dxa"/>
              <w:left w:w="80" w:type="dxa"/>
              <w:bottom w:w="80" w:type="dxa"/>
              <w:right w:w="80" w:type="dxa"/>
            </w:tcMar>
          </w:tcPr>
          <w:p w:rsidR="00AC5D1D" w:rsidRDefault="00AC5D1D"/>
        </w:tc>
        <w:tc>
          <w:tcPr>
            <w:tcW w:w="3854" w:type="dxa"/>
            <w:tcBorders>
              <w:top w:val="dotted" w:sz="6" w:space="0" w:color="C8C8C8"/>
              <w:left w:val="dotted" w:sz="6" w:space="0" w:color="C8C8C8"/>
              <w:bottom w:val="single" w:sz="6" w:space="0" w:color="C8C8C8"/>
              <w:right w:val="dotted" w:sz="6" w:space="0" w:color="C8C8C8"/>
            </w:tcBorders>
            <w:shd w:val="clear" w:color="auto" w:fill="auto"/>
            <w:tcMar>
              <w:top w:w="80" w:type="dxa"/>
              <w:left w:w="80" w:type="dxa"/>
              <w:bottom w:w="80" w:type="dxa"/>
              <w:right w:w="80" w:type="dxa"/>
            </w:tcMar>
          </w:tcPr>
          <w:p w:rsidR="00AC5D1D" w:rsidRDefault="00AC5D1D"/>
        </w:tc>
      </w:tr>
      <w:tr w:rsidR="00AC5D1D">
        <w:tblPrEx>
          <w:shd w:val="clear" w:color="auto" w:fill="auto"/>
        </w:tblPrEx>
        <w:trPr>
          <w:trHeight w:val="249"/>
        </w:trPr>
        <w:tc>
          <w:tcPr>
            <w:tcW w:w="5637" w:type="dxa"/>
            <w:gridSpan w:val="2"/>
            <w:tcBorders>
              <w:top w:val="single" w:sz="6" w:space="0" w:color="C8C8C8"/>
              <w:left w:val="nil"/>
              <w:bottom w:val="nil"/>
              <w:right w:val="single" w:sz="6" w:space="0" w:color="C8C8C8"/>
            </w:tcBorders>
            <w:shd w:val="clear" w:color="auto" w:fill="auto"/>
            <w:tcMar>
              <w:top w:w="80" w:type="dxa"/>
              <w:left w:w="80" w:type="dxa"/>
              <w:bottom w:w="80" w:type="dxa"/>
              <w:right w:w="80" w:type="dxa"/>
            </w:tcMar>
          </w:tcPr>
          <w:p w:rsidR="00055D5B" w:rsidRDefault="00055D5B">
            <w:pPr>
              <w:pStyle w:val="TableStyle2"/>
              <w:rPr>
                <w:rFonts w:eastAsia="Arial Unicode MS" w:cs="Arial Unicode MS"/>
              </w:rPr>
            </w:pPr>
          </w:p>
          <w:p w:rsidR="00055D5B" w:rsidRDefault="00055D5B">
            <w:pPr>
              <w:pStyle w:val="TableStyle2"/>
              <w:rPr>
                <w:rFonts w:eastAsia="Arial Unicode MS" w:cs="Arial Unicode MS"/>
              </w:rPr>
            </w:pPr>
          </w:p>
          <w:p w:rsidR="00055D5B" w:rsidRDefault="00055D5B">
            <w:pPr>
              <w:pStyle w:val="TableStyle2"/>
              <w:rPr>
                <w:rFonts w:eastAsia="Arial Unicode MS" w:cs="Arial Unicode MS"/>
              </w:rPr>
            </w:pPr>
          </w:p>
          <w:p w:rsidR="00055D5B" w:rsidRDefault="00055D5B">
            <w:pPr>
              <w:pStyle w:val="TableStyle2"/>
              <w:rPr>
                <w:rFonts w:eastAsia="Arial Unicode MS" w:cs="Arial Unicode MS"/>
              </w:rPr>
            </w:pPr>
          </w:p>
          <w:p w:rsidR="00055D5B" w:rsidRDefault="00055D5B">
            <w:pPr>
              <w:pStyle w:val="TableStyle2"/>
              <w:rPr>
                <w:rFonts w:eastAsia="Arial Unicode MS" w:cs="Arial Unicode MS"/>
              </w:rPr>
            </w:pPr>
          </w:p>
          <w:p w:rsidR="00AC5D1D" w:rsidRDefault="00575AFA">
            <w:pPr>
              <w:pStyle w:val="TableStyle2"/>
            </w:pPr>
            <w:r>
              <w:rPr>
                <w:rFonts w:eastAsia="Arial Unicode MS" w:cs="Arial Unicode MS"/>
              </w:rPr>
              <w:lastRenderedPageBreak/>
              <w:t xml:space="preserve">Bevoegde vertegenwoordiger: (handtekening, naam en functie) </w:t>
            </w:r>
          </w:p>
        </w:tc>
        <w:tc>
          <w:tcPr>
            <w:tcW w:w="3854" w:type="dxa"/>
            <w:tcBorders>
              <w:top w:val="single" w:sz="6" w:space="0" w:color="C8C8C8"/>
              <w:left w:val="single" w:sz="6" w:space="0" w:color="C8C8C8"/>
              <w:bottom w:val="nil"/>
              <w:right w:val="single" w:sz="6" w:space="0" w:color="C8C8C8"/>
            </w:tcBorders>
            <w:shd w:val="clear" w:color="auto" w:fill="auto"/>
            <w:tcMar>
              <w:top w:w="80" w:type="dxa"/>
              <w:left w:w="80" w:type="dxa"/>
              <w:bottom w:w="80" w:type="dxa"/>
              <w:right w:w="80" w:type="dxa"/>
            </w:tcMar>
          </w:tcPr>
          <w:p w:rsidR="00055D5B" w:rsidRDefault="00055D5B">
            <w:pPr>
              <w:pStyle w:val="TableStyle2"/>
              <w:rPr>
                <w:rFonts w:eastAsia="Arial Unicode MS" w:cs="Arial Unicode MS"/>
              </w:rPr>
            </w:pPr>
          </w:p>
          <w:p w:rsidR="00055D5B" w:rsidRDefault="00055D5B">
            <w:pPr>
              <w:pStyle w:val="TableStyle2"/>
              <w:rPr>
                <w:rFonts w:eastAsia="Arial Unicode MS" w:cs="Arial Unicode MS"/>
              </w:rPr>
            </w:pPr>
          </w:p>
          <w:p w:rsidR="00055D5B" w:rsidRDefault="00055D5B">
            <w:pPr>
              <w:pStyle w:val="TableStyle2"/>
              <w:rPr>
                <w:rFonts w:eastAsia="Arial Unicode MS" w:cs="Arial Unicode MS"/>
              </w:rPr>
            </w:pPr>
          </w:p>
          <w:p w:rsidR="00055D5B" w:rsidRDefault="00055D5B">
            <w:pPr>
              <w:pStyle w:val="TableStyle2"/>
              <w:rPr>
                <w:rFonts w:eastAsia="Arial Unicode MS" w:cs="Arial Unicode MS"/>
              </w:rPr>
            </w:pPr>
          </w:p>
          <w:p w:rsidR="00055D5B" w:rsidRDefault="00055D5B">
            <w:pPr>
              <w:pStyle w:val="TableStyle2"/>
              <w:rPr>
                <w:rFonts w:eastAsia="Arial Unicode MS" w:cs="Arial Unicode MS"/>
              </w:rPr>
            </w:pPr>
          </w:p>
          <w:p w:rsidR="00AC5D1D" w:rsidRDefault="00575AFA">
            <w:pPr>
              <w:pStyle w:val="TableStyle2"/>
            </w:pPr>
            <w:r>
              <w:rPr>
                <w:rFonts w:eastAsia="Arial Unicode MS" w:cs="Arial Unicode MS"/>
              </w:rPr>
              <w:lastRenderedPageBreak/>
              <w:t xml:space="preserve">Naam en adres onderneming: </w:t>
            </w:r>
          </w:p>
        </w:tc>
      </w:tr>
      <w:tr w:rsidR="00AC5D1D">
        <w:tblPrEx>
          <w:shd w:val="clear" w:color="auto" w:fill="auto"/>
        </w:tblPrEx>
        <w:trPr>
          <w:trHeight w:val="1194"/>
        </w:trPr>
        <w:tc>
          <w:tcPr>
            <w:tcW w:w="5637" w:type="dxa"/>
            <w:gridSpan w:val="2"/>
            <w:tcBorders>
              <w:top w:val="nil"/>
              <w:left w:val="nil"/>
              <w:bottom w:val="nil"/>
              <w:right w:val="single" w:sz="6" w:space="0" w:color="C8C8C8"/>
            </w:tcBorders>
            <w:shd w:val="clear" w:color="auto" w:fill="auto"/>
            <w:tcMar>
              <w:top w:w="80" w:type="dxa"/>
              <w:left w:w="80" w:type="dxa"/>
              <w:bottom w:w="80" w:type="dxa"/>
              <w:right w:w="80" w:type="dxa"/>
            </w:tcMar>
          </w:tcPr>
          <w:p w:rsidR="00AC5D1D" w:rsidRDefault="00AC5D1D">
            <w:pPr>
              <w:pStyle w:val="TableStyle2"/>
            </w:pPr>
          </w:p>
          <w:p w:rsidR="00AC5D1D" w:rsidRDefault="00AC5D1D">
            <w:pPr>
              <w:pStyle w:val="TableStyle2"/>
            </w:pPr>
          </w:p>
          <w:p w:rsidR="00AC5D1D" w:rsidRDefault="00AC5D1D">
            <w:pPr>
              <w:pStyle w:val="TableStyle2"/>
            </w:pPr>
          </w:p>
          <w:p w:rsidR="00AC5D1D" w:rsidRDefault="00AC5D1D">
            <w:pPr>
              <w:pStyle w:val="TableStyle2"/>
            </w:pPr>
          </w:p>
          <w:p w:rsidR="00AC5D1D" w:rsidRDefault="00575AFA">
            <w:pPr>
              <w:pStyle w:val="TableStyle2"/>
            </w:pPr>
            <w:r>
              <w:rPr>
                <w:rFonts w:eastAsia="Arial Unicode MS" w:cs="Arial Unicode MS"/>
              </w:rPr>
              <w:t xml:space="preserve">Datum: </w:t>
            </w:r>
          </w:p>
        </w:tc>
        <w:tc>
          <w:tcPr>
            <w:tcW w:w="3854" w:type="dxa"/>
            <w:tcBorders>
              <w:top w:val="nil"/>
              <w:left w:val="single" w:sz="6" w:space="0" w:color="C8C8C8"/>
              <w:bottom w:val="nil"/>
              <w:right w:val="single" w:sz="6" w:space="0" w:color="C8C8C8"/>
            </w:tcBorders>
            <w:shd w:val="clear" w:color="auto" w:fill="auto"/>
            <w:tcMar>
              <w:top w:w="80" w:type="dxa"/>
              <w:left w:w="80" w:type="dxa"/>
              <w:bottom w:w="80" w:type="dxa"/>
              <w:right w:w="80" w:type="dxa"/>
            </w:tcMar>
          </w:tcPr>
          <w:p w:rsidR="00AC5D1D" w:rsidRDefault="00AC5D1D"/>
        </w:tc>
      </w:tr>
    </w:tbl>
    <w:p w:rsidR="00AC5D1D" w:rsidRDefault="00AC5D1D">
      <w:pPr>
        <w:pStyle w:val="Body2"/>
      </w:pPr>
    </w:p>
    <w:p w:rsidR="00055D5B" w:rsidRDefault="00055D5B">
      <w:pPr>
        <w:pStyle w:val="Body2"/>
      </w:pPr>
    </w:p>
    <w:p w:rsidR="00055D5B" w:rsidRDefault="00055D5B">
      <w:pPr>
        <w:pStyle w:val="Body2"/>
        <w:pBdr>
          <w:bottom w:val="single" w:sz="6" w:space="1" w:color="auto"/>
        </w:pBdr>
      </w:pPr>
    </w:p>
    <w:p w:rsidR="00055D5B" w:rsidRPr="00194248" w:rsidRDefault="00055D5B" w:rsidP="00055D5B">
      <w:pPr>
        <w:pStyle w:val="Body2"/>
        <w:pBdr>
          <w:top w:val="none" w:sz="0" w:space="0" w:color="auto"/>
        </w:pBdr>
        <w:jc w:val="center"/>
        <w:rPr>
          <w:sz w:val="22"/>
        </w:rPr>
      </w:pPr>
      <w:r w:rsidRPr="00194248">
        <w:rPr>
          <w:sz w:val="22"/>
        </w:rPr>
        <w:br/>
        <w:t xml:space="preserve">Wil je dit formulier ingevuld en ondertekend terugsturen naar </w:t>
      </w:r>
      <w:hyperlink r:id="rId9" w:history="1">
        <w:r w:rsidRPr="00194248">
          <w:rPr>
            <w:rStyle w:val="Hyperlink"/>
            <w:b/>
            <w:sz w:val="22"/>
          </w:rPr>
          <w:t>zorg@fme.nl</w:t>
        </w:r>
      </w:hyperlink>
      <w:r w:rsidRPr="00194248">
        <w:rPr>
          <w:sz w:val="22"/>
        </w:rPr>
        <w:t>.</w:t>
      </w:r>
    </w:p>
    <w:p w:rsidR="00055D5B" w:rsidRDefault="00055D5B">
      <w:pPr>
        <w:pStyle w:val="Body2"/>
        <w:pBdr>
          <w:top w:val="none" w:sz="0" w:space="0" w:color="auto"/>
          <w:bottom w:val="single" w:sz="6" w:space="1" w:color="auto"/>
        </w:pBdr>
      </w:pPr>
    </w:p>
    <w:p w:rsidR="00055D5B" w:rsidRDefault="00055D5B">
      <w:pPr>
        <w:pStyle w:val="Body2"/>
        <w:pBdr>
          <w:top w:val="none" w:sz="0" w:space="0" w:color="auto"/>
        </w:pBdr>
      </w:pPr>
    </w:p>
    <w:sectPr w:rsidR="00055D5B">
      <w:headerReference w:type="default" r:id="rId10"/>
      <w:footerReference w:type="defaul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AFA" w:rsidRDefault="00575AFA">
      <w:r>
        <w:separator/>
      </w:r>
    </w:p>
  </w:endnote>
  <w:endnote w:type="continuationSeparator" w:id="0">
    <w:p w:rsidR="00575AFA" w:rsidRDefault="00575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Helvetica Neue Medium">
    <w:altName w:val="Arial"/>
    <w:charset w:val="4D"/>
    <w:family w:val="swiss"/>
    <w:pitch w:val="variable"/>
    <w:sig w:usb0="00000001" w:usb1="5000205B" w:usb2="00000002" w:usb3="00000000" w:csb0="0000009B" w:csb1="00000000"/>
  </w:font>
  <w:font w:name="Helvetica Neue UltraLight">
    <w:altName w:val="Franklin Gothic Medium Cond"/>
    <w:charset w:val="00"/>
    <w:family w:val="auto"/>
    <w:pitch w:val="variable"/>
    <w:sig w:usb0="00000003" w:usb1="5000205B" w:usb2="00000002" w:usb3="00000000" w:csb0="00000001" w:csb1="00000000"/>
  </w:font>
  <w:font w:name="Helvetica Neue Light">
    <w:altName w:val="Corbel"/>
    <w:charset w:val="00"/>
    <w:family w:val="auto"/>
    <w:pitch w:val="variable"/>
    <w:sig w:usb0="00000001"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D1D" w:rsidRDefault="00575AFA">
    <w:pPr>
      <w:pStyle w:val="HeaderFooter"/>
      <w:tabs>
        <w:tab w:val="clear" w:pos="9020"/>
        <w:tab w:val="center" w:pos="4750"/>
        <w:tab w:val="right" w:pos="9500"/>
      </w:tabs>
    </w:pPr>
    <w:r>
      <w:t xml:space="preserve">Pagina </w:t>
    </w:r>
    <w:r>
      <w:fldChar w:fldCharType="begin"/>
    </w:r>
    <w:r>
      <w:instrText xml:space="preserve"> PAGE </w:instrText>
    </w:r>
    <w:r>
      <w:fldChar w:fldCharType="separate"/>
    </w:r>
    <w:r w:rsidR="00194248">
      <w:rPr>
        <w:noProof/>
      </w:rPr>
      <w:t>2</w:t>
    </w:r>
    <w:r>
      <w:fldChar w:fldCharType="end"/>
    </w:r>
    <w:r>
      <w:t xml:space="preserve"> van </w:t>
    </w:r>
    <w:fldSimple w:instr=" NUMPAGES ">
      <w:r w:rsidR="00194248">
        <w:rPr>
          <w:noProof/>
        </w:rPr>
        <w:t>8</w:t>
      </w:r>
    </w:fldSimple>
    <w:r>
      <w:tab/>
    </w:r>
    <w:r>
      <w:tab/>
      <w:t>4 april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AFA" w:rsidRDefault="00575AFA">
      <w:r>
        <w:separator/>
      </w:r>
    </w:p>
  </w:footnote>
  <w:footnote w:type="continuationSeparator" w:id="0">
    <w:p w:rsidR="00575AFA" w:rsidRDefault="00575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D1D" w:rsidRDefault="00575AFA">
    <w:pPr>
      <w:pStyle w:val="HeaderFooter"/>
      <w:tabs>
        <w:tab w:val="clear" w:pos="9020"/>
        <w:tab w:val="center" w:pos="4750"/>
        <w:tab w:val="right" w:pos="9500"/>
      </w:tabs>
    </w:pPr>
    <w:r>
      <w:rPr>
        <w:noProof/>
        <w:lang w:val="nl-NL" w:eastAsia="nl-NL"/>
      </w:rPr>
      <mc:AlternateContent>
        <mc:Choice Requires="wps">
          <w:drawing>
            <wp:anchor distT="152400" distB="152400" distL="152400" distR="152400" simplePos="0" relativeHeight="251659264" behindDoc="1" locked="0" layoutInCell="1" allowOverlap="1">
              <wp:simplePos x="0" y="0"/>
              <wp:positionH relativeFrom="page">
                <wp:posOffset>762000</wp:posOffset>
              </wp:positionH>
              <wp:positionV relativeFrom="page">
                <wp:posOffset>10007600</wp:posOffset>
              </wp:positionV>
              <wp:extent cx="6030791" cy="3"/>
              <wp:effectExtent l="0" t="0" r="0" b="0"/>
              <wp:wrapNone/>
              <wp:docPr id="1073741826" name="officeArt object"/>
              <wp:cNvGraphicFramePr/>
              <a:graphic xmlns:a="http://schemas.openxmlformats.org/drawingml/2006/main">
                <a:graphicData uri="http://schemas.microsoft.com/office/word/2010/wordprocessingShape">
                  <wps:wsp>
                    <wps:cNvCnPr/>
                    <wps:spPr>
                      <a:xfrm>
                        <a:off x="0" y="0"/>
                        <a:ext cx="6030791" cy="3"/>
                      </a:xfrm>
                      <a:prstGeom prst="line">
                        <a:avLst/>
                      </a:prstGeom>
                      <a:noFill/>
                      <a:ln w="12700" cap="flat">
                        <a:solidFill>
                          <a:schemeClr val="accent1">
                            <a:hueOff val="366345"/>
                            <a:satOff val="11385"/>
                            <a:lumOff val="-23239"/>
                          </a:schemeClr>
                        </a:solidFill>
                        <a:prstDash val="solid"/>
                        <a:miter lim="400000"/>
                      </a:ln>
                      <a:effectLst/>
                    </wps:spPr>
                    <wps:bodyPr/>
                  </wps:wsp>
                </a:graphicData>
              </a:graphic>
            </wp:anchor>
          </w:drawing>
        </mc:Choice>
        <mc:Fallback>
          <w:pict>
            <v:line w14:anchorId="24D95C34" id="officeArt object" o:spid="_x0000_s1026" style="position:absolute;z-index:-251657216;visibility:visible;mso-wrap-style:square;mso-wrap-distance-left:12pt;mso-wrap-distance-top:12pt;mso-wrap-distance-right:12pt;mso-wrap-distance-bottom:12pt;mso-position-horizontal:absolute;mso-position-horizontal-relative:page;mso-position-vertical:absolute;mso-position-vertical-relative:page" from="60pt,788pt" to="534.85pt,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" strokecolor="#85b9c9 [3204]" strokeweight="1pt">
              <v:stroke miterlimit="4" joinstyle="miter"/>
              <w10:wrap anchorx="page" anchory="page"/>
            </v:line>
          </w:pict>
        </mc:Fallback>
      </mc:AlternateConten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34A67"/>
    <w:multiLevelType w:val="hybridMultilevel"/>
    <w:tmpl w:val="D7BCE646"/>
    <w:numStyleLink w:val="Numbered"/>
  </w:abstractNum>
  <w:abstractNum w:abstractNumId="1" w15:restartNumberingAfterBreak="0">
    <w:nsid w:val="3A4352AD"/>
    <w:multiLevelType w:val="hybridMultilevel"/>
    <w:tmpl w:val="D7BCE646"/>
    <w:styleLink w:val="Numbered"/>
    <w:lvl w:ilvl="0" w:tplc="B1AA4FA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C24C66E">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3729888">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D1654D2">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512F9E8">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59294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9C62D78">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450781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7E6943E">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DEA5AAE"/>
    <w:multiLevelType w:val="hybridMultilevel"/>
    <w:tmpl w:val="09125D10"/>
    <w:styleLink w:val="Bullet"/>
    <w:lvl w:ilvl="0" w:tplc="87B493C2">
      <w:start w:val="1"/>
      <w:numFmt w:val="bullet"/>
      <w:lvlText w:val="•"/>
      <w:lvlJc w:val="left"/>
      <w:pPr>
        <w:ind w:left="216" w:hanging="216"/>
      </w:pPr>
      <w:rPr>
        <w:rFonts w:hAnsi="Arial Unicode MS"/>
        <w:caps w:val="0"/>
        <w:smallCaps w:val="0"/>
        <w:strike w:val="0"/>
        <w:dstrike w:val="0"/>
        <w:outline w:val="0"/>
        <w:emboss w:val="0"/>
        <w:imprint w:val="0"/>
        <w:color w:val="7F8685"/>
        <w:spacing w:val="0"/>
        <w:w w:val="100"/>
        <w:kern w:val="0"/>
        <w:position w:val="0"/>
        <w:highlight w:val="none"/>
        <w:vertAlign w:val="baseline"/>
      </w:rPr>
    </w:lvl>
    <w:lvl w:ilvl="1" w:tplc="FC1A1DFC">
      <w:start w:val="1"/>
      <w:numFmt w:val="bullet"/>
      <w:lvlText w:val="•"/>
      <w:lvlJc w:val="left"/>
      <w:pPr>
        <w:ind w:left="440" w:hanging="220"/>
      </w:pPr>
      <w:rPr>
        <w:rFonts w:hAnsi="Arial Unicode MS"/>
        <w:caps w:val="0"/>
        <w:smallCaps w:val="0"/>
        <w:strike w:val="0"/>
        <w:dstrike w:val="0"/>
        <w:outline w:val="0"/>
        <w:emboss w:val="0"/>
        <w:imprint w:val="0"/>
        <w:color w:val="7F8685"/>
        <w:spacing w:val="0"/>
        <w:w w:val="100"/>
        <w:kern w:val="0"/>
        <w:position w:val="0"/>
        <w:highlight w:val="none"/>
        <w:vertAlign w:val="baseline"/>
      </w:rPr>
    </w:lvl>
    <w:lvl w:ilvl="2" w:tplc="C1E2B5AE">
      <w:start w:val="1"/>
      <w:numFmt w:val="bullet"/>
      <w:lvlText w:val="•"/>
      <w:lvlJc w:val="left"/>
      <w:pPr>
        <w:ind w:left="660" w:hanging="220"/>
      </w:pPr>
      <w:rPr>
        <w:rFonts w:hAnsi="Arial Unicode MS"/>
        <w:caps w:val="0"/>
        <w:smallCaps w:val="0"/>
        <w:strike w:val="0"/>
        <w:dstrike w:val="0"/>
        <w:outline w:val="0"/>
        <w:emboss w:val="0"/>
        <w:imprint w:val="0"/>
        <w:color w:val="7F8685"/>
        <w:spacing w:val="0"/>
        <w:w w:val="100"/>
        <w:kern w:val="0"/>
        <w:position w:val="0"/>
        <w:highlight w:val="none"/>
        <w:vertAlign w:val="baseline"/>
      </w:rPr>
    </w:lvl>
    <w:lvl w:ilvl="3" w:tplc="51660D9E">
      <w:start w:val="1"/>
      <w:numFmt w:val="bullet"/>
      <w:lvlText w:val="•"/>
      <w:lvlJc w:val="left"/>
      <w:pPr>
        <w:ind w:left="880" w:hanging="220"/>
      </w:pPr>
      <w:rPr>
        <w:rFonts w:hAnsi="Arial Unicode MS"/>
        <w:caps w:val="0"/>
        <w:smallCaps w:val="0"/>
        <w:strike w:val="0"/>
        <w:dstrike w:val="0"/>
        <w:outline w:val="0"/>
        <w:emboss w:val="0"/>
        <w:imprint w:val="0"/>
        <w:color w:val="7F8685"/>
        <w:spacing w:val="0"/>
        <w:w w:val="100"/>
        <w:kern w:val="0"/>
        <w:position w:val="0"/>
        <w:highlight w:val="none"/>
        <w:vertAlign w:val="baseline"/>
      </w:rPr>
    </w:lvl>
    <w:lvl w:ilvl="4" w:tplc="B1E08CD8">
      <w:start w:val="1"/>
      <w:numFmt w:val="bullet"/>
      <w:lvlText w:val="•"/>
      <w:lvlJc w:val="left"/>
      <w:pPr>
        <w:ind w:left="1100" w:hanging="220"/>
      </w:pPr>
      <w:rPr>
        <w:rFonts w:hAnsi="Arial Unicode MS"/>
        <w:caps w:val="0"/>
        <w:smallCaps w:val="0"/>
        <w:strike w:val="0"/>
        <w:dstrike w:val="0"/>
        <w:outline w:val="0"/>
        <w:emboss w:val="0"/>
        <w:imprint w:val="0"/>
        <w:color w:val="7F8685"/>
        <w:spacing w:val="0"/>
        <w:w w:val="100"/>
        <w:kern w:val="0"/>
        <w:position w:val="0"/>
        <w:highlight w:val="none"/>
        <w:vertAlign w:val="baseline"/>
      </w:rPr>
    </w:lvl>
    <w:lvl w:ilvl="5" w:tplc="9D3695EA">
      <w:start w:val="1"/>
      <w:numFmt w:val="bullet"/>
      <w:lvlText w:val="•"/>
      <w:lvlJc w:val="left"/>
      <w:pPr>
        <w:ind w:left="1320" w:hanging="220"/>
      </w:pPr>
      <w:rPr>
        <w:rFonts w:hAnsi="Arial Unicode MS"/>
        <w:caps w:val="0"/>
        <w:smallCaps w:val="0"/>
        <w:strike w:val="0"/>
        <w:dstrike w:val="0"/>
        <w:outline w:val="0"/>
        <w:emboss w:val="0"/>
        <w:imprint w:val="0"/>
        <w:color w:val="7F8685"/>
        <w:spacing w:val="0"/>
        <w:w w:val="100"/>
        <w:kern w:val="0"/>
        <w:position w:val="0"/>
        <w:highlight w:val="none"/>
        <w:vertAlign w:val="baseline"/>
      </w:rPr>
    </w:lvl>
    <w:lvl w:ilvl="6" w:tplc="9670E5D8">
      <w:start w:val="1"/>
      <w:numFmt w:val="bullet"/>
      <w:lvlText w:val="•"/>
      <w:lvlJc w:val="left"/>
      <w:pPr>
        <w:ind w:left="1540" w:hanging="220"/>
      </w:pPr>
      <w:rPr>
        <w:rFonts w:hAnsi="Arial Unicode MS"/>
        <w:caps w:val="0"/>
        <w:smallCaps w:val="0"/>
        <w:strike w:val="0"/>
        <w:dstrike w:val="0"/>
        <w:outline w:val="0"/>
        <w:emboss w:val="0"/>
        <w:imprint w:val="0"/>
        <w:color w:val="7F8685"/>
        <w:spacing w:val="0"/>
        <w:w w:val="100"/>
        <w:kern w:val="0"/>
        <w:position w:val="0"/>
        <w:highlight w:val="none"/>
        <w:vertAlign w:val="baseline"/>
      </w:rPr>
    </w:lvl>
    <w:lvl w:ilvl="7" w:tplc="401CD054">
      <w:start w:val="1"/>
      <w:numFmt w:val="bullet"/>
      <w:lvlText w:val="•"/>
      <w:lvlJc w:val="left"/>
      <w:pPr>
        <w:ind w:left="1760" w:hanging="220"/>
      </w:pPr>
      <w:rPr>
        <w:rFonts w:hAnsi="Arial Unicode MS"/>
        <w:caps w:val="0"/>
        <w:smallCaps w:val="0"/>
        <w:strike w:val="0"/>
        <w:dstrike w:val="0"/>
        <w:outline w:val="0"/>
        <w:emboss w:val="0"/>
        <w:imprint w:val="0"/>
        <w:color w:val="7F8685"/>
        <w:spacing w:val="0"/>
        <w:w w:val="100"/>
        <w:kern w:val="0"/>
        <w:position w:val="0"/>
        <w:highlight w:val="none"/>
        <w:vertAlign w:val="baseline"/>
      </w:rPr>
    </w:lvl>
    <w:lvl w:ilvl="8" w:tplc="E0FCB640">
      <w:start w:val="1"/>
      <w:numFmt w:val="bullet"/>
      <w:lvlText w:val="•"/>
      <w:lvlJc w:val="left"/>
      <w:pPr>
        <w:ind w:left="1980" w:hanging="220"/>
      </w:pPr>
      <w:rPr>
        <w:rFonts w:hAnsi="Arial Unicode MS"/>
        <w:caps w:val="0"/>
        <w:smallCaps w:val="0"/>
        <w:strike w:val="0"/>
        <w:dstrike w:val="0"/>
        <w:outline w:val="0"/>
        <w:emboss w:val="0"/>
        <w:imprint w:val="0"/>
        <w:color w:val="7F8685"/>
        <w:spacing w:val="0"/>
        <w:w w:val="100"/>
        <w:kern w:val="0"/>
        <w:position w:val="0"/>
        <w:highlight w:val="none"/>
        <w:vertAlign w:val="baseline"/>
      </w:rPr>
    </w:lvl>
  </w:abstractNum>
  <w:abstractNum w:abstractNumId="3" w15:restartNumberingAfterBreak="0">
    <w:nsid w:val="518B1409"/>
    <w:multiLevelType w:val="hybridMultilevel"/>
    <w:tmpl w:val="8C064D4E"/>
    <w:lvl w:ilvl="0" w:tplc="32CC0D7E">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F4389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580722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B0CF3AA">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00A11E6">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A8229B4">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38A18E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D9A2C08">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26CF7A2">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42873EB"/>
    <w:multiLevelType w:val="hybridMultilevel"/>
    <w:tmpl w:val="09125D10"/>
    <w:numStyleLink w:val="Bullet"/>
  </w:abstractNum>
  <w:num w:numId="1">
    <w:abstractNumId w:val="2"/>
  </w:num>
  <w:num w:numId="2">
    <w:abstractNumId w:val="4"/>
  </w:num>
  <w:num w:numId="3">
    <w:abstractNumId w:val="1"/>
  </w:num>
  <w:num w:numId="4">
    <w:abstractNumId w:val="0"/>
  </w:num>
  <w:num w:numId="5">
    <w:abstractNumId w:val="3"/>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D1D"/>
    <w:rsid w:val="000335B9"/>
    <w:rsid w:val="00055D5B"/>
    <w:rsid w:val="00194248"/>
    <w:rsid w:val="00575AFA"/>
    <w:rsid w:val="0096225C"/>
    <w:rsid w:val="00AC5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EC6EA"/>
  <w15:docId w15:val="{87A35572-2F75-554B-A615-F2AF924D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rPr>
  </w:style>
  <w:style w:type="paragraph" w:styleId="Kop2">
    <w:name w:val="heading 2"/>
    <w:next w:val="Body2"/>
    <w:uiPriority w:val="9"/>
    <w:unhideWhenUsed/>
    <w:qFormat/>
    <w:pPr>
      <w:spacing w:before="200" w:after="140"/>
      <w:outlineLvl w:val="1"/>
    </w:pPr>
    <w:rPr>
      <w:rFonts w:ascii="Helvetica Neue" w:hAnsi="Helvetica Neue" w:cs="Arial Unicode MS"/>
      <w:b/>
      <w:bCs/>
      <w:color w:val="357CA2"/>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el">
    <w:name w:val="Title"/>
    <w:next w:val="Body2"/>
    <w:uiPriority w:val="10"/>
    <w:qFormat/>
    <w:pPr>
      <w:keepNext/>
      <w:spacing w:line="288" w:lineRule="auto"/>
      <w:outlineLvl w:val="0"/>
    </w:pPr>
    <w:rPr>
      <w:rFonts w:ascii="Helvetica Neue UltraLight" w:hAnsi="Helvetica Neue UltraLight" w:cs="Arial Unicode MS"/>
      <w:color w:val="000000"/>
      <w:spacing w:val="13"/>
      <w:sz w:val="44"/>
      <w:szCs w:val="44"/>
    </w:rPr>
  </w:style>
  <w:style w:type="paragraph" w:customStyle="1" w:styleId="Body2">
    <w:name w:val="Body 2"/>
    <w:pPr>
      <w:suppressAutoHyphens/>
      <w:spacing w:after="180" w:line="288" w:lineRule="auto"/>
    </w:pPr>
    <w:rPr>
      <w:rFonts w:ascii="Helvetica Neue Light" w:hAnsi="Helvetica Neue Light" w:cs="Arial Unicode MS"/>
      <w:color w:val="000000"/>
    </w:rPr>
  </w:style>
  <w:style w:type="paragraph" w:styleId="Ondertitel">
    <w:name w:val="Subtitle"/>
    <w:next w:val="Body2"/>
    <w:uiPriority w:val="11"/>
    <w:qFormat/>
    <w:pPr>
      <w:spacing w:after="20" w:line="288" w:lineRule="auto"/>
    </w:pPr>
    <w:rPr>
      <w:rFonts w:ascii="Helvetica Neue" w:hAnsi="Helvetica Neue" w:cs="Arial Unicode MS"/>
      <w:b/>
      <w:bCs/>
      <w:caps/>
      <w:color w:val="357CA2"/>
      <w:spacing w:val="13"/>
      <w:sz w:val="26"/>
      <w:szCs w:val="26"/>
    </w:rPr>
  </w:style>
  <w:style w:type="paragraph" w:customStyle="1" w:styleId="Body">
    <w:name w:val="Body"/>
    <w:pPr>
      <w:spacing w:line="312" w:lineRule="auto"/>
      <w:jc w:val="both"/>
    </w:pPr>
    <w:rPr>
      <w:rFonts w:ascii="Helvetica Neue Light" w:eastAsia="Helvetica Neue Light" w:hAnsi="Helvetica Neue Light" w:cs="Helvetica Neue Light"/>
      <w:color w:val="000000"/>
    </w:rPr>
  </w:style>
  <w:style w:type="paragraph" w:customStyle="1" w:styleId="Heading">
    <w:name w:val="Heading"/>
    <w:next w:val="Body2"/>
    <w:pPr>
      <w:outlineLvl w:val="1"/>
    </w:pPr>
    <w:rPr>
      <w:rFonts w:ascii="Helvetica Neue Light" w:hAnsi="Helvetica Neue Light" w:cs="Arial Unicode MS"/>
      <w:caps/>
      <w:color w:val="434343"/>
      <w:spacing w:val="7"/>
      <w:sz w:val="36"/>
      <w:szCs w:val="36"/>
    </w:rPr>
  </w:style>
  <w:style w:type="numbering" w:customStyle="1" w:styleId="Bullet">
    <w:name w:val="Bullet"/>
    <w:pPr>
      <w:numPr>
        <w:numId w:val="1"/>
      </w:numPr>
    </w:pPr>
  </w:style>
  <w:style w:type="numbering" w:customStyle="1" w:styleId="Numbered">
    <w:name w:val="Numbered"/>
    <w:pPr>
      <w:numPr>
        <w:numId w:val="3"/>
      </w:numPr>
    </w:pPr>
  </w:style>
  <w:style w:type="paragraph" w:customStyle="1" w:styleId="Label">
    <w:name w:val="Label"/>
    <w:pPr>
      <w:spacing w:before="80" w:after="180" w:line="288" w:lineRule="auto"/>
      <w:jc w:val="center"/>
    </w:pPr>
    <w:rPr>
      <w:rFonts w:ascii="Helvetica Neue" w:hAnsi="Helvetica Neue" w:cs="Arial Unicode MS"/>
      <w:color w:val="FEFEFE"/>
      <w:sz w:val="24"/>
      <w:szCs w:val="24"/>
    </w:rPr>
  </w:style>
  <w:style w:type="paragraph" w:customStyle="1" w:styleId="TableStyle5">
    <w:name w:val="Table Style 5"/>
    <w:pPr>
      <w:tabs>
        <w:tab w:val="right" w:pos="1267"/>
        <w:tab w:val="right" w:pos="1333"/>
      </w:tabs>
    </w:pPr>
    <w:rPr>
      <w:rFonts w:ascii="Helvetica Neue" w:eastAsia="Helvetica Neue" w:hAnsi="Helvetica Neue" w:cs="Helvetica Neue"/>
      <w:b/>
      <w:bCs/>
      <w:caps/>
      <w:color w:val="357CA2"/>
    </w:rPr>
  </w:style>
  <w:style w:type="paragraph" w:customStyle="1" w:styleId="TableStyle2">
    <w:name w:val="Table Style 2"/>
    <w:pPr>
      <w:tabs>
        <w:tab w:val="right" w:pos="1267"/>
        <w:tab w:val="right" w:pos="1333"/>
      </w:tabs>
    </w:pPr>
    <w:rPr>
      <w:rFonts w:ascii="Helvetica Neue Light" w:eastAsia="Helvetica Neue Light" w:hAnsi="Helvetica Neue Light" w:cs="Helvetica Neue Light"/>
      <w:color w:val="000000"/>
    </w:rPr>
  </w:style>
  <w:style w:type="paragraph" w:styleId="Ballontekst">
    <w:name w:val="Balloon Text"/>
    <w:basedOn w:val="Standaard"/>
    <w:link w:val="BallontekstChar"/>
    <w:uiPriority w:val="99"/>
    <w:semiHidden/>
    <w:unhideWhenUsed/>
    <w:rsid w:val="0096225C"/>
    <w:rPr>
      <w:sz w:val="18"/>
      <w:szCs w:val="18"/>
    </w:rPr>
  </w:style>
  <w:style w:type="character" w:customStyle="1" w:styleId="BallontekstChar">
    <w:name w:val="Ballontekst Char"/>
    <w:basedOn w:val="Standaardalinea-lettertype"/>
    <w:link w:val="Ballontekst"/>
    <w:uiPriority w:val="99"/>
    <w:semiHidden/>
    <w:rsid w:val="0096225C"/>
    <w:rPr>
      <w:sz w:val="18"/>
      <w:szCs w:val="18"/>
    </w:rPr>
  </w:style>
  <w:style w:type="paragraph" w:styleId="Koptekst">
    <w:name w:val="header"/>
    <w:basedOn w:val="Standaard"/>
    <w:link w:val="KoptekstChar"/>
    <w:uiPriority w:val="99"/>
    <w:unhideWhenUsed/>
    <w:rsid w:val="000335B9"/>
    <w:pPr>
      <w:tabs>
        <w:tab w:val="center" w:pos="4536"/>
        <w:tab w:val="right" w:pos="9072"/>
      </w:tabs>
    </w:pPr>
  </w:style>
  <w:style w:type="character" w:customStyle="1" w:styleId="KoptekstChar">
    <w:name w:val="Koptekst Char"/>
    <w:basedOn w:val="Standaardalinea-lettertype"/>
    <w:link w:val="Koptekst"/>
    <w:uiPriority w:val="99"/>
    <w:rsid w:val="000335B9"/>
    <w:rPr>
      <w:sz w:val="24"/>
      <w:szCs w:val="24"/>
    </w:rPr>
  </w:style>
  <w:style w:type="paragraph" w:styleId="Voettekst">
    <w:name w:val="footer"/>
    <w:basedOn w:val="Standaard"/>
    <w:link w:val="VoettekstChar"/>
    <w:uiPriority w:val="99"/>
    <w:unhideWhenUsed/>
    <w:rsid w:val="000335B9"/>
    <w:pPr>
      <w:tabs>
        <w:tab w:val="center" w:pos="4536"/>
        <w:tab w:val="right" w:pos="9072"/>
      </w:tabs>
    </w:pPr>
  </w:style>
  <w:style w:type="character" w:customStyle="1" w:styleId="VoettekstChar">
    <w:name w:val="Voettekst Char"/>
    <w:basedOn w:val="Standaardalinea-lettertype"/>
    <w:link w:val="Voettekst"/>
    <w:uiPriority w:val="99"/>
    <w:rsid w:val="000335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zorg@fme.nl"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20000"/>
          </a:lnSpc>
          <a:spcBef>
            <a:spcPts val="900"/>
          </a:spcBef>
          <a:spcAft>
            <a:spcPts val="0"/>
          </a:spcAft>
          <a:buClrTx/>
          <a:buSzTx/>
          <a:buFontTx/>
          <a:buNone/>
          <a:tabLst/>
          <a:defRPr kumimoji="0" sz="1000" b="0" i="0" u="none" strike="noStrike" cap="none" spc="0" normalizeH="0" baseline="0">
            <a:ln>
              <a:noFill/>
            </a:ln>
            <a:solidFill>
              <a:srgbClr val="000000"/>
            </a:solidFill>
            <a:effectLst/>
            <a:uFillTx/>
            <a:latin typeface="Helvetica Neue Light"/>
            <a:ea typeface="Helvetica Neue Light"/>
            <a:cs typeface="Helvetica Neue Light"/>
            <a:sym typeface="Helvetica Neue 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2671</Words>
  <Characters>14693</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Borsboom</dc:creator>
  <cp:lastModifiedBy>Diana Vergeer</cp:lastModifiedBy>
  <cp:revision>2</cp:revision>
  <dcterms:created xsi:type="dcterms:W3CDTF">2019-05-13T09:13:00Z</dcterms:created>
  <dcterms:modified xsi:type="dcterms:W3CDTF">2019-05-13T09:13:00Z</dcterms:modified>
</cp:coreProperties>
</file>